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094"/>
        <w:gridCol w:w="5095"/>
      </w:tblGrid>
      <w:tr w:rsidR="00004F57" w:rsidRPr="00004F57" w:rsidTr="00004F57">
        <w:tc>
          <w:tcPr>
            <w:tcW w:w="5094" w:type="dxa"/>
          </w:tcPr>
          <w:p w:rsidR="00004F57" w:rsidRPr="00BF5AFD" w:rsidRDefault="00004F57" w:rsidP="00004F57">
            <w:pPr>
              <w:pStyle w:val="Banner"/>
              <w:rPr>
                <w:color w:val="auto"/>
                <w:sz w:val="56"/>
                <w:szCs w:val="42"/>
                <w:lang w:val="en-US"/>
              </w:rPr>
            </w:pPr>
            <w:r w:rsidRPr="00BF5AFD">
              <w:rPr>
                <w:color w:val="auto"/>
                <w:sz w:val="56"/>
                <w:szCs w:val="42"/>
                <w:lang w:val="en-US"/>
              </w:rPr>
              <w:t>Energy Legislation News</w:t>
            </w:r>
          </w:p>
          <w:p w:rsidR="00004F57" w:rsidRDefault="00004F57" w:rsidP="00004F57">
            <w:pPr>
              <w:jc w:val="both"/>
              <w:rPr>
                <w:sz w:val="32"/>
                <w:lang w:val="en-US"/>
              </w:rPr>
            </w:pPr>
          </w:p>
          <w:p w:rsidR="00BF5AFD" w:rsidRPr="00004F57" w:rsidRDefault="00BF5AFD" w:rsidP="00004F57">
            <w:pPr>
              <w:jc w:val="both"/>
              <w:rPr>
                <w:sz w:val="32"/>
                <w:lang w:val="en-US"/>
              </w:rPr>
            </w:pPr>
          </w:p>
          <w:p w:rsidR="00004F57" w:rsidRPr="00004F57" w:rsidRDefault="00004F57" w:rsidP="00004F57">
            <w:pPr>
              <w:jc w:val="both"/>
              <w:rPr>
                <w:lang w:val="uk-UA"/>
              </w:rPr>
            </w:pPr>
            <w:r w:rsidRPr="00BF5AFD">
              <w:rPr>
                <w:sz w:val="32"/>
                <w:lang w:val="en-US"/>
              </w:rPr>
              <w:t>April 2014</w:t>
            </w:r>
          </w:p>
        </w:tc>
        <w:tc>
          <w:tcPr>
            <w:tcW w:w="5095" w:type="dxa"/>
          </w:tcPr>
          <w:p w:rsidR="00004F57" w:rsidRPr="00BF5AFD" w:rsidRDefault="00004F57" w:rsidP="00B977F5">
            <w:pPr>
              <w:pStyle w:val="Banner"/>
              <w:rPr>
                <w:color w:val="auto"/>
                <w:lang w:val="en-US"/>
              </w:rPr>
            </w:pPr>
            <w:r w:rsidRPr="00004F57">
              <w:rPr>
                <w:color w:val="auto"/>
                <w:sz w:val="56"/>
                <w:szCs w:val="42"/>
                <w:lang w:val="ru-RU"/>
              </w:rPr>
              <w:t>Новости</w:t>
            </w:r>
            <w:r w:rsidRPr="00BF5AFD">
              <w:rPr>
                <w:color w:val="auto"/>
                <w:sz w:val="56"/>
                <w:szCs w:val="42"/>
                <w:lang w:val="en-US"/>
              </w:rPr>
              <w:t xml:space="preserve"> </w:t>
            </w:r>
            <w:r w:rsidRPr="00004F57">
              <w:rPr>
                <w:color w:val="auto"/>
                <w:sz w:val="56"/>
                <w:szCs w:val="42"/>
                <w:lang w:val="ru-RU"/>
              </w:rPr>
              <w:t>законодательства</w:t>
            </w:r>
            <w:r w:rsidRPr="00BF5AFD">
              <w:rPr>
                <w:color w:val="auto"/>
                <w:sz w:val="56"/>
                <w:szCs w:val="42"/>
                <w:lang w:val="en-US"/>
              </w:rPr>
              <w:t xml:space="preserve"> </w:t>
            </w:r>
            <w:r w:rsidRPr="00004F57">
              <w:rPr>
                <w:color w:val="auto"/>
                <w:sz w:val="56"/>
                <w:szCs w:val="42"/>
                <w:lang w:val="ru-RU"/>
              </w:rPr>
              <w:t>в</w:t>
            </w:r>
            <w:r w:rsidRPr="00BF5AFD">
              <w:rPr>
                <w:color w:val="auto"/>
                <w:sz w:val="56"/>
                <w:szCs w:val="42"/>
                <w:lang w:val="en-US"/>
              </w:rPr>
              <w:t xml:space="preserve"> </w:t>
            </w:r>
            <w:r w:rsidRPr="00004F57">
              <w:rPr>
                <w:color w:val="auto"/>
                <w:sz w:val="56"/>
                <w:szCs w:val="42"/>
                <w:lang w:val="ru-RU"/>
              </w:rPr>
              <w:t>сфере</w:t>
            </w:r>
            <w:r w:rsidRPr="00BF5AFD">
              <w:rPr>
                <w:color w:val="auto"/>
                <w:sz w:val="56"/>
                <w:szCs w:val="42"/>
                <w:lang w:val="en-US"/>
              </w:rPr>
              <w:t xml:space="preserve"> </w:t>
            </w:r>
            <w:r w:rsidRPr="00004F57">
              <w:rPr>
                <w:color w:val="auto"/>
                <w:sz w:val="56"/>
                <w:szCs w:val="42"/>
                <w:lang w:val="ru-RU"/>
              </w:rPr>
              <w:t>энергетики</w:t>
            </w:r>
          </w:p>
          <w:p w:rsidR="00004F57" w:rsidRPr="00004F57" w:rsidRDefault="00004F57" w:rsidP="00B977F5">
            <w:r w:rsidRPr="00004F57">
              <w:rPr>
                <w:sz w:val="32"/>
                <w:lang w:val="ru-RU"/>
              </w:rPr>
              <w:t>Апрель</w:t>
            </w:r>
            <w:r w:rsidRPr="00BF5AFD">
              <w:rPr>
                <w:sz w:val="32"/>
                <w:lang w:val="en-US"/>
              </w:rPr>
              <w:t xml:space="preserve"> 2014 </w:t>
            </w:r>
            <w:r w:rsidRPr="00004F57">
              <w:rPr>
                <w:sz w:val="32"/>
                <w:lang w:val="ru-RU"/>
              </w:rPr>
              <w:t>года</w:t>
            </w:r>
          </w:p>
        </w:tc>
      </w:tr>
      <w:tr w:rsidR="00004F57" w:rsidRPr="00BF5AFD" w:rsidTr="00B977F5">
        <w:trPr>
          <w:trHeight w:val="8357"/>
        </w:trPr>
        <w:tc>
          <w:tcPr>
            <w:tcW w:w="5094" w:type="dxa"/>
          </w:tcPr>
          <w:p w:rsidR="00004F57" w:rsidRPr="00004F57" w:rsidRDefault="00004F57" w:rsidP="00B977F5">
            <w:pPr>
              <w:pStyle w:val="story"/>
              <w:spacing w:after="0" w:afterAutospacing="0"/>
              <w:ind w:left="284" w:hanging="284"/>
              <w:jc w:val="both"/>
              <w:rPr>
                <w:rFonts w:asciiTheme="minorHAnsi" w:eastAsia="Batang" w:hAnsiTheme="minorHAnsi"/>
                <w:bCs/>
                <w:color w:val="auto"/>
                <w:kern w:val="32"/>
                <w:sz w:val="32"/>
                <w:szCs w:val="28"/>
                <w:lang w:val="uk-UA" w:eastAsia="ko-KR"/>
              </w:rPr>
            </w:pPr>
            <w:r w:rsidRPr="00004F57">
              <w:rPr>
                <w:rFonts w:asciiTheme="minorHAnsi" w:eastAsia="Batang" w:hAnsiTheme="minorHAnsi"/>
                <w:bCs/>
                <w:color w:val="auto"/>
                <w:kern w:val="32"/>
                <w:sz w:val="32"/>
                <w:szCs w:val="28"/>
                <w:lang w:val="uk-UA" w:eastAsia="ko-KR"/>
              </w:rPr>
              <w:t>OIL AND GAS</w:t>
            </w:r>
          </w:p>
          <w:p w:rsidR="00004F57" w:rsidRPr="00004F57" w:rsidRDefault="00004F57" w:rsidP="00B977F5">
            <w:pPr>
              <w:pStyle w:val="Bullet"/>
              <w:numPr>
                <w:ilvl w:val="0"/>
                <w:numId w:val="0"/>
              </w:numPr>
              <w:spacing w:after="0"/>
              <w:jc w:val="both"/>
              <w:rPr>
                <w:color w:val="auto"/>
                <w:lang w:val="uk-UA"/>
              </w:rPr>
            </w:pP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Cabinet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Ministers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adopted</w:t>
            </w:r>
            <w:proofErr w:type="spellEnd"/>
            <w:r w:rsidRPr="00004F57">
              <w:rPr>
                <w:color w:val="auto"/>
                <w:lang w:val="uk-UA"/>
              </w:rPr>
              <w:t xml:space="preserve"> </w:t>
            </w:r>
            <w:proofErr w:type="spellStart"/>
            <w:r w:rsidRPr="00004F57">
              <w:rPr>
                <w:color w:val="auto"/>
                <w:lang w:val="uk-UA"/>
              </w:rPr>
              <w:t>Resolution</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979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Approval</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Procedure</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Rules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Property</w:t>
            </w:r>
            <w:proofErr w:type="spellEnd"/>
            <w:r w:rsidRPr="00004F57">
              <w:rPr>
                <w:color w:val="auto"/>
                <w:lang w:val="uk-UA"/>
              </w:rPr>
              <w:t xml:space="preserve"> </w:t>
            </w:r>
            <w:proofErr w:type="spellStart"/>
            <w:r w:rsidRPr="00004F57">
              <w:rPr>
                <w:color w:val="auto"/>
                <w:lang w:val="uk-UA"/>
              </w:rPr>
              <w:t>Risks</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Development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Deposits</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Cases</w:t>
            </w:r>
            <w:proofErr w:type="spellEnd"/>
            <w:r w:rsidRPr="00004F57">
              <w:rPr>
                <w:color w:val="auto"/>
                <w:lang w:val="uk-UA"/>
              </w:rPr>
              <w:t xml:space="preserve"> </w:t>
            </w:r>
            <w:proofErr w:type="spellStart"/>
            <w:r w:rsidRPr="00004F57">
              <w:rPr>
                <w:color w:val="auto"/>
                <w:lang w:val="uk-UA"/>
              </w:rPr>
              <w:t>Prescribed</w:t>
            </w:r>
            <w:proofErr w:type="spellEnd"/>
            <w:r w:rsidRPr="00004F57">
              <w:rPr>
                <w:color w:val="auto"/>
                <w:lang w:val="uk-UA"/>
              </w:rPr>
              <w:t xml:space="preserve"> </w:t>
            </w:r>
            <w:proofErr w:type="spellStart"/>
            <w:r w:rsidRPr="00004F57">
              <w:rPr>
                <w:color w:val="auto"/>
                <w:lang w:val="uk-UA"/>
              </w:rPr>
              <w:t>by</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Law</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dated</w:t>
            </w:r>
            <w:proofErr w:type="spellEnd"/>
            <w:r w:rsidRPr="00004F57">
              <w:rPr>
                <w:color w:val="auto"/>
                <w:lang w:val="uk-UA"/>
              </w:rPr>
              <w:t xml:space="preserve"> </w:t>
            </w:r>
            <w:proofErr w:type="spellStart"/>
            <w:r w:rsidRPr="00004F57">
              <w:rPr>
                <w:color w:val="auto"/>
                <w:lang w:val="uk-UA"/>
              </w:rPr>
              <w:t>November</w:t>
            </w:r>
            <w:proofErr w:type="spellEnd"/>
            <w:r w:rsidRPr="00004F57">
              <w:rPr>
                <w:color w:val="auto"/>
                <w:lang w:val="uk-UA"/>
              </w:rPr>
              <w:t xml:space="preserve"> 13, 2013 </w:t>
            </w:r>
            <w:proofErr w:type="spellStart"/>
            <w:r w:rsidRPr="00004F57">
              <w:rPr>
                <w:color w:val="auto"/>
                <w:lang w:val="uk-UA"/>
              </w:rPr>
              <w:t>which</w:t>
            </w:r>
            <w:proofErr w:type="spellEnd"/>
            <w:r w:rsidRPr="00004F57">
              <w:rPr>
                <w:color w:val="auto"/>
                <w:lang w:val="uk-UA"/>
              </w:rPr>
              <w:t xml:space="preserve"> </w:t>
            </w:r>
            <w:proofErr w:type="spellStart"/>
            <w:r w:rsidRPr="00004F57">
              <w:rPr>
                <w:color w:val="auto"/>
                <w:lang w:val="uk-UA"/>
              </w:rPr>
              <w:t>entered</w:t>
            </w:r>
            <w:proofErr w:type="spellEnd"/>
            <w:r w:rsidRPr="00004F57">
              <w:rPr>
                <w:color w:val="auto"/>
                <w:lang w:val="uk-UA"/>
              </w:rPr>
              <w:t xml:space="preserve"> </w:t>
            </w:r>
            <w:proofErr w:type="spellStart"/>
            <w:r w:rsidRPr="00004F57">
              <w:rPr>
                <w:color w:val="auto"/>
                <w:lang w:val="uk-UA"/>
              </w:rPr>
              <w:t>into</w:t>
            </w:r>
            <w:proofErr w:type="spellEnd"/>
            <w:r w:rsidRPr="00004F57">
              <w:rPr>
                <w:color w:val="auto"/>
                <w:lang w:val="uk-UA"/>
              </w:rPr>
              <w:t xml:space="preserve"> </w:t>
            </w:r>
            <w:proofErr w:type="spellStart"/>
            <w:r w:rsidRPr="00004F57">
              <w:rPr>
                <w:color w:val="auto"/>
                <w:lang w:val="uk-UA"/>
              </w:rPr>
              <w:t>force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February</w:t>
            </w:r>
            <w:proofErr w:type="spellEnd"/>
            <w:r w:rsidRPr="00004F57">
              <w:rPr>
                <w:color w:val="auto"/>
                <w:lang w:val="uk-UA"/>
              </w:rPr>
              <w:t xml:space="preserve"> 5, 2014 (“</w:t>
            </w:r>
            <w:proofErr w:type="spellStart"/>
            <w:r w:rsidRPr="00004F57">
              <w:rPr>
                <w:b/>
                <w:color w:val="auto"/>
                <w:lang w:val="uk-UA"/>
              </w:rPr>
              <w:t>Resolution</w:t>
            </w:r>
            <w:proofErr w:type="spellEnd"/>
            <w:r w:rsidRPr="00004F57">
              <w:rPr>
                <w:b/>
                <w:color w:val="auto"/>
                <w:lang w:val="uk-UA"/>
              </w:rPr>
              <w:t xml:space="preserve"> </w:t>
            </w:r>
            <w:proofErr w:type="spellStart"/>
            <w:r w:rsidRPr="00004F57">
              <w:rPr>
                <w:b/>
                <w:color w:val="auto"/>
                <w:lang w:val="uk-UA"/>
              </w:rPr>
              <w:t>No</w:t>
            </w:r>
            <w:proofErr w:type="spellEnd"/>
            <w:r w:rsidRPr="00004F57">
              <w:rPr>
                <w:b/>
                <w:color w:val="auto"/>
                <w:lang w:val="uk-UA"/>
              </w:rPr>
              <w:t>. 979</w:t>
            </w:r>
            <w:r w:rsidRPr="00004F57">
              <w:rPr>
                <w:color w:val="auto"/>
                <w:lang w:val="uk-UA"/>
              </w:rPr>
              <w:t>”).</w:t>
            </w:r>
          </w:p>
          <w:p w:rsidR="00004F57" w:rsidRDefault="00004F57" w:rsidP="00004F57">
            <w:pPr>
              <w:pStyle w:val="Bullet"/>
              <w:numPr>
                <w:ilvl w:val="0"/>
                <w:numId w:val="0"/>
              </w:numPr>
              <w:ind w:left="360" w:hanging="360"/>
              <w:jc w:val="both"/>
              <w:rPr>
                <w:color w:val="auto"/>
                <w:lang w:val="en-US"/>
              </w:rPr>
            </w:pPr>
            <w:proofErr w:type="spellStart"/>
            <w:r w:rsidRPr="00004F57">
              <w:rPr>
                <w:color w:val="auto"/>
                <w:lang w:val="uk-UA"/>
              </w:rPr>
              <w:t>Resolution</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979 </w:t>
            </w:r>
            <w:proofErr w:type="spellStart"/>
            <w:r w:rsidRPr="00004F57">
              <w:rPr>
                <w:color w:val="auto"/>
                <w:lang w:val="uk-UA"/>
              </w:rPr>
              <w:t>stipulates</w:t>
            </w:r>
            <w:proofErr w:type="spellEnd"/>
            <w:r w:rsidRPr="00004F57">
              <w:rPr>
                <w:color w:val="auto"/>
                <w:lang w:val="uk-UA"/>
              </w:rPr>
              <w:t xml:space="preserve"> </w:t>
            </w:r>
            <w:proofErr w:type="spellStart"/>
            <w:r w:rsidRPr="00004F57">
              <w:rPr>
                <w:color w:val="auto"/>
                <w:lang w:val="uk-UA"/>
              </w:rPr>
              <w:t>that</w:t>
            </w:r>
            <w:proofErr w:type="spellEnd"/>
            <w:r w:rsidRPr="00004F57">
              <w:rPr>
                <w:color w:val="auto"/>
                <w:lang w:val="uk-UA"/>
              </w:rPr>
              <w:t>:</w:t>
            </w:r>
          </w:p>
          <w:p w:rsidR="00B977F5" w:rsidRPr="00B977F5" w:rsidRDefault="00B977F5" w:rsidP="00004F57">
            <w:pPr>
              <w:pStyle w:val="Bullet"/>
              <w:numPr>
                <w:ilvl w:val="0"/>
                <w:numId w:val="0"/>
              </w:numPr>
              <w:ind w:left="360" w:hanging="360"/>
              <w:jc w:val="both"/>
              <w:rPr>
                <w:color w:val="auto"/>
                <w:lang w:val="en-US"/>
              </w:rPr>
            </w:pPr>
          </w:p>
          <w:p w:rsidR="00004F57" w:rsidRPr="00004F57" w:rsidRDefault="00004F57" w:rsidP="00004F57">
            <w:pPr>
              <w:pStyle w:val="Bullet"/>
              <w:numPr>
                <w:ilvl w:val="0"/>
                <w:numId w:val="4"/>
              </w:numPr>
              <w:spacing w:after="0"/>
              <w:ind w:left="426"/>
              <w:jc w:val="both"/>
              <w:rPr>
                <w:color w:val="auto"/>
                <w:lang w:val="uk-UA"/>
              </w:rPr>
            </w:pP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property</w:t>
            </w:r>
            <w:proofErr w:type="spellEnd"/>
            <w:r w:rsidRPr="00004F57">
              <w:rPr>
                <w:color w:val="auto"/>
                <w:lang w:val="uk-UA"/>
              </w:rPr>
              <w:t xml:space="preserve"> </w:t>
            </w:r>
            <w:proofErr w:type="spellStart"/>
            <w:r w:rsidRPr="00004F57">
              <w:rPr>
                <w:color w:val="auto"/>
                <w:lang w:val="uk-UA"/>
              </w:rPr>
              <w:t>risks</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development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deposits</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cases</w:t>
            </w:r>
            <w:proofErr w:type="spellEnd"/>
            <w:r w:rsidRPr="00004F57">
              <w:rPr>
                <w:color w:val="auto"/>
                <w:lang w:val="uk-UA"/>
              </w:rPr>
              <w:t xml:space="preserve"> </w:t>
            </w:r>
            <w:proofErr w:type="spellStart"/>
            <w:r w:rsidRPr="00004F57">
              <w:rPr>
                <w:color w:val="auto"/>
                <w:lang w:val="uk-UA"/>
              </w:rPr>
              <w:t>prescribed</w:t>
            </w:r>
            <w:proofErr w:type="spellEnd"/>
            <w:r w:rsidRPr="00004F57">
              <w:rPr>
                <w:color w:val="auto"/>
                <w:lang w:val="uk-UA"/>
              </w:rPr>
              <w:t xml:space="preserve"> </w:t>
            </w:r>
            <w:proofErr w:type="spellStart"/>
            <w:r w:rsidRPr="00004F57">
              <w:rPr>
                <w:color w:val="auto"/>
                <w:lang w:val="uk-UA"/>
              </w:rPr>
              <w:t>by</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Law</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shall</w:t>
            </w:r>
            <w:proofErr w:type="spellEnd"/>
            <w:r w:rsidRPr="00004F57">
              <w:rPr>
                <w:color w:val="auto"/>
                <w:lang w:val="uk-UA"/>
              </w:rPr>
              <w:t xml:space="preserve"> </w:t>
            </w:r>
            <w:proofErr w:type="spellStart"/>
            <w:r w:rsidRPr="00004F57">
              <w:rPr>
                <w:color w:val="auto"/>
                <w:lang w:val="uk-UA"/>
              </w:rPr>
              <w:t>be</w:t>
            </w:r>
            <w:proofErr w:type="spellEnd"/>
            <w:r w:rsidRPr="00004F57">
              <w:rPr>
                <w:color w:val="auto"/>
                <w:lang w:val="uk-UA"/>
              </w:rPr>
              <w:t xml:space="preserve"> </w:t>
            </w:r>
            <w:proofErr w:type="spellStart"/>
            <w:r w:rsidRPr="00004F57">
              <w:rPr>
                <w:color w:val="auto"/>
                <w:lang w:val="uk-UA"/>
              </w:rPr>
              <w:t>carried</w:t>
            </w:r>
            <w:proofErr w:type="spellEnd"/>
            <w:r w:rsidRPr="00004F57">
              <w:rPr>
                <w:color w:val="auto"/>
                <w:lang w:val="uk-UA"/>
              </w:rPr>
              <w:t xml:space="preserve"> </w:t>
            </w:r>
            <w:proofErr w:type="spellStart"/>
            <w:r w:rsidRPr="00004F57">
              <w:rPr>
                <w:color w:val="auto"/>
                <w:lang w:val="uk-UA"/>
              </w:rPr>
              <w:t>out</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ensure</w:t>
            </w:r>
            <w:proofErr w:type="spellEnd"/>
            <w:r w:rsidRPr="00004F57">
              <w:rPr>
                <w:color w:val="auto"/>
                <w:lang w:val="uk-UA"/>
              </w:rPr>
              <w:t xml:space="preserve"> </w:t>
            </w:r>
            <w:proofErr w:type="spellStart"/>
            <w:r w:rsidRPr="00004F57">
              <w:rPr>
                <w:color w:val="auto"/>
                <w:lang w:val="uk-UA"/>
              </w:rPr>
              <w:t>compensation</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damage</w:t>
            </w:r>
            <w:proofErr w:type="spellEnd"/>
            <w:r w:rsidRPr="00004F57">
              <w:rPr>
                <w:color w:val="auto"/>
                <w:lang w:val="uk-UA"/>
              </w:rPr>
              <w:t xml:space="preserve"> </w:t>
            </w:r>
            <w:proofErr w:type="spellStart"/>
            <w:r w:rsidRPr="00004F57">
              <w:rPr>
                <w:color w:val="auto"/>
                <w:lang w:val="uk-UA"/>
              </w:rPr>
              <w:t>caused</w:t>
            </w:r>
            <w:proofErr w:type="spellEnd"/>
            <w:r w:rsidRPr="00004F57">
              <w:rPr>
                <w:color w:val="auto"/>
                <w:lang w:val="uk-UA"/>
              </w:rPr>
              <w:t xml:space="preserve"> </w:t>
            </w:r>
            <w:proofErr w:type="spellStart"/>
            <w:r w:rsidRPr="00004F57">
              <w:rPr>
                <w:color w:val="auto"/>
                <w:lang w:val="uk-UA"/>
              </w:rPr>
              <w:t>by</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insurer</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environment</w:t>
            </w:r>
            <w:proofErr w:type="spellEnd"/>
            <w:r w:rsidRPr="00004F57">
              <w:rPr>
                <w:color w:val="auto"/>
                <w:lang w:val="uk-UA"/>
              </w:rPr>
              <w:t xml:space="preserve"> </w:t>
            </w:r>
            <w:proofErr w:type="spellStart"/>
            <w:r w:rsidRPr="00004F57">
              <w:rPr>
                <w:color w:val="auto"/>
                <w:lang w:val="uk-UA"/>
              </w:rPr>
              <w:t>as</w:t>
            </w:r>
            <w:proofErr w:type="spellEnd"/>
            <w:r w:rsidRPr="00004F57">
              <w:rPr>
                <w:color w:val="auto"/>
                <w:lang w:val="uk-UA"/>
              </w:rPr>
              <w:t xml:space="preserve"> a </w:t>
            </w:r>
            <w:proofErr w:type="spellStart"/>
            <w:r w:rsidRPr="00004F57">
              <w:rPr>
                <w:color w:val="auto"/>
                <w:lang w:val="uk-UA"/>
              </w:rPr>
              <w:t>result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an</w:t>
            </w:r>
            <w:proofErr w:type="spellEnd"/>
            <w:r w:rsidRPr="00004F57">
              <w:rPr>
                <w:color w:val="auto"/>
                <w:lang w:val="uk-UA"/>
              </w:rPr>
              <w:t xml:space="preserve"> </w:t>
            </w:r>
            <w:proofErr w:type="spellStart"/>
            <w:r w:rsidRPr="00004F57">
              <w:rPr>
                <w:color w:val="auto"/>
                <w:lang w:val="uk-UA"/>
              </w:rPr>
              <w:t>incident</w:t>
            </w:r>
            <w:proofErr w:type="spellEnd"/>
            <w:r w:rsidRPr="00004F57">
              <w:rPr>
                <w:color w:val="auto"/>
                <w:lang w:val="uk-UA"/>
              </w:rPr>
              <w:t xml:space="preserve"> </w:t>
            </w:r>
            <w:proofErr w:type="spellStart"/>
            <w:r w:rsidRPr="00004F57">
              <w:rPr>
                <w:color w:val="auto"/>
                <w:lang w:val="uk-UA"/>
              </w:rPr>
              <w:t>or</w:t>
            </w:r>
            <w:proofErr w:type="spellEnd"/>
            <w:r w:rsidRPr="00004F57">
              <w:rPr>
                <w:color w:val="auto"/>
                <w:lang w:val="uk-UA"/>
              </w:rPr>
              <w:t xml:space="preserve"> </w:t>
            </w:r>
            <w:proofErr w:type="spellStart"/>
            <w:r w:rsidRPr="00004F57">
              <w:rPr>
                <w:color w:val="auto"/>
                <w:lang w:val="uk-UA"/>
              </w:rPr>
              <w:t>operating</w:t>
            </w:r>
            <w:proofErr w:type="spellEnd"/>
            <w:r w:rsidRPr="00004F57">
              <w:rPr>
                <w:color w:val="auto"/>
                <w:lang w:val="uk-UA"/>
              </w:rPr>
              <w:t xml:space="preserve"> </w:t>
            </w:r>
            <w:proofErr w:type="spellStart"/>
            <w:r w:rsidRPr="00004F57">
              <w:rPr>
                <w:color w:val="auto"/>
                <w:lang w:val="uk-UA"/>
              </w:rPr>
              <w:t>failures</w:t>
            </w:r>
            <w:proofErr w:type="spellEnd"/>
            <w:r w:rsidRPr="00004F57">
              <w:rPr>
                <w:color w:val="auto"/>
                <w:lang w:val="uk-UA"/>
              </w:rPr>
              <w:t xml:space="preserve">, </w:t>
            </w:r>
            <w:proofErr w:type="spellStart"/>
            <w:r w:rsidRPr="00004F57">
              <w:rPr>
                <w:color w:val="auto"/>
                <w:lang w:val="uk-UA"/>
              </w:rPr>
              <w:t>as</w:t>
            </w:r>
            <w:proofErr w:type="spellEnd"/>
            <w:r w:rsidRPr="00004F57">
              <w:rPr>
                <w:color w:val="auto"/>
                <w:lang w:val="uk-UA"/>
              </w:rPr>
              <w:t xml:space="preserve"> </w:t>
            </w:r>
            <w:proofErr w:type="spellStart"/>
            <w:r w:rsidRPr="00004F57">
              <w:rPr>
                <w:color w:val="auto"/>
                <w:lang w:val="uk-UA"/>
              </w:rPr>
              <w:t>well</w:t>
            </w:r>
            <w:proofErr w:type="spellEnd"/>
            <w:r w:rsidRPr="00004F57">
              <w:rPr>
                <w:color w:val="auto"/>
                <w:lang w:val="uk-UA"/>
              </w:rPr>
              <w:t xml:space="preserve"> </w:t>
            </w:r>
            <w:proofErr w:type="spellStart"/>
            <w:r w:rsidRPr="00004F57">
              <w:rPr>
                <w:color w:val="auto"/>
                <w:lang w:val="uk-UA"/>
              </w:rPr>
              <w:t>as</w:t>
            </w:r>
            <w:proofErr w:type="spellEnd"/>
            <w:r w:rsidRPr="00004F57">
              <w:rPr>
                <w:color w:val="auto"/>
                <w:lang w:val="uk-UA"/>
              </w:rPr>
              <w:t xml:space="preserve"> </w:t>
            </w:r>
            <w:proofErr w:type="spellStart"/>
            <w:r w:rsidRPr="00004F57">
              <w:rPr>
                <w:color w:val="auto"/>
                <w:lang w:val="uk-UA"/>
              </w:rPr>
              <w:t>damage</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state-</w:t>
            </w:r>
            <w:proofErr w:type="spellStart"/>
            <w:r w:rsidRPr="00004F57">
              <w:rPr>
                <w:color w:val="auto"/>
                <w:lang w:val="uk-UA"/>
              </w:rPr>
              <w:t>owned</w:t>
            </w:r>
            <w:proofErr w:type="spellEnd"/>
            <w:r w:rsidRPr="00004F57">
              <w:rPr>
                <w:color w:val="auto"/>
                <w:lang w:val="uk-UA"/>
              </w:rPr>
              <w:t xml:space="preserve"> </w:t>
            </w:r>
            <w:proofErr w:type="spellStart"/>
            <w:r w:rsidRPr="00004F57">
              <w:rPr>
                <w:color w:val="auto"/>
                <w:lang w:val="uk-UA"/>
              </w:rPr>
              <w:t>property</w:t>
            </w:r>
            <w:proofErr w:type="spellEnd"/>
            <w:r w:rsidRPr="00004F57">
              <w:rPr>
                <w:color w:val="auto"/>
                <w:lang w:val="uk-UA"/>
              </w:rPr>
              <w:t xml:space="preserve"> </w:t>
            </w:r>
            <w:proofErr w:type="spellStart"/>
            <w:r w:rsidRPr="00004F57">
              <w:rPr>
                <w:color w:val="auto"/>
                <w:lang w:val="uk-UA"/>
              </w:rPr>
              <w:t>provided</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use</w:t>
            </w:r>
            <w:proofErr w:type="spellEnd"/>
            <w:r w:rsidRPr="00004F57">
              <w:rPr>
                <w:color w:val="auto"/>
                <w:lang w:val="uk-UA"/>
              </w:rPr>
              <w:t xml:space="preserve"> </w:t>
            </w:r>
            <w:proofErr w:type="spellStart"/>
            <w:r w:rsidRPr="00004F57">
              <w:rPr>
                <w:color w:val="auto"/>
                <w:lang w:val="uk-UA"/>
              </w:rPr>
              <w:t>during</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period</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development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deposits</w:t>
            </w:r>
            <w:proofErr w:type="spellEnd"/>
            <w:r w:rsidRPr="00004F57">
              <w:rPr>
                <w:color w:val="auto"/>
                <w:lang w:val="uk-UA"/>
              </w:rPr>
              <w:t>.</w:t>
            </w:r>
          </w:p>
          <w:p w:rsidR="00004F57" w:rsidRDefault="00004F57" w:rsidP="00004F57">
            <w:pPr>
              <w:pStyle w:val="Bullet"/>
              <w:numPr>
                <w:ilvl w:val="0"/>
                <w:numId w:val="0"/>
              </w:numPr>
              <w:spacing w:after="0"/>
              <w:ind w:left="426"/>
              <w:jc w:val="both"/>
              <w:rPr>
                <w:color w:val="auto"/>
                <w:lang w:val="en-US"/>
              </w:rPr>
            </w:pPr>
          </w:p>
          <w:p w:rsidR="00B977F5" w:rsidRDefault="00B977F5" w:rsidP="00004F57">
            <w:pPr>
              <w:pStyle w:val="Bullet"/>
              <w:numPr>
                <w:ilvl w:val="0"/>
                <w:numId w:val="0"/>
              </w:numPr>
              <w:spacing w:after="0"/>
              <w:ind w:left="426"/>
              <w:jc w:val="both"/>
              <w:rPr>
                <w:color w:val="auto"/>
                <w:lang w:val="en-US"/>
              </w:rPr>
            </w:pPr>
          </w:p>
          <w:p w:rsidR="00B977F5" w:rsidRDefault="00B977F5" w:rsidP="00004F57">
            <w:pPr>
              <w:pStyle w:val="Bullet"/>
              <w:numPr>
                <w:ilvl w:val="0"/>
                <w:numId w:val="0"/>
              </w:numPr>
              <w:spacing w:after="0"/>
              <w:ind w:left="426"/>
              <w:jc w:val="both"/>
              <w:rPr>
                <w:color w:val="auto"/>
                <w:lang w:val="en-US"/>
              </w:rPr>
            </w:pPr>
          </w:p>
          <w:p w:rsidR="00004F57" w:rsidRPr="00B977F5" w:rsidRDefault="00004F57" w:rsidP="00004F57">
            <w:pPr>
              <w:pStyle w:val="Bullet"/>
              <w:numPr>
                <w:ilvl w:val="0"/>
                <w:numId w:val="4"/>
              </w:numPr>
              <w:spacing w:after="0"/>
              <w:ind w:left="426" w:hanging="357"/>
              <w:jc w:val="both"/>
              <w:rPr>
                <w:color w:val="auto"/>
                <w:lang w:val="uk-UA"/>
              </w:rPr>
            </w:pPr>
            <w:r w:rsidRPr="00004F57">
              <w:rPr>
                <w:color w:val="auto"/>
                <w:lang w:val="uk-UA"/>
              </w:rPr>
              <w:t xml:space="preserve">A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should</w:t>
            </w:r>
            <w:proofErr w:type="spellEnd"/>
            <w:r w:rsidRPr="00004F57">
              <w:rPr>
                <w:color w:val="auto"/>
                <w:lang w:val="uk-UA"/>
              </w:rPr>
              <w:t xml:space="preserve"> </w:t>
            </w:r>
            <w:proofErr w:type="spellStart"/>
            <w:r w:rsidRPr="00004F57">
              <w:rPr>
                <w:color w:val="auto"/>
                <w:lang w:val="uk-UA"/>
              </w:rPr>
              <w:t>be</w:t>
            </w:r>
            <w:proofErr w:type="spellEnd"/>
            <w:r w:rsidRPr="00004F57">
              <w:rPr>
                <w:color w:val="auto"/>
                <w:lang w:val="uk-UA"/>
              </w:rPr>
              <w:t xml:space="preserve"> </w:t>
            </w:r>
            <w:proofErr w:type="spellStart"/>
            <w:r w:rsidRPr="00004F57">
              <w:rPr>
                <w:color w:val="auto"/>
                <w:lang w:val="uk-UA"/>
              </w:rPr>
              <w:t>concluded</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writing</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a </w:t>
            </w:r>
            <w:proofErr w:type="spellStart"/>
            <w:r w:rsidRPr="00004F57">
              <w:rPr>
                <w:color w:val="auto"/>
                <w:lang w:val="uk-UA"/>
              </w:rPr>
              <w:t>period</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at</w:t>
            </w:r>
            <w:proofErr w:type="spellEnd"/>
            <w:r w:rsidRPr="00004F57">
              <w:rPr>
                <w:color w:val="auto"/>
                <w:lang w:val="uk-UA"/>
              </w:rPr>
              <w:t xml:space="preserve"> </w:t>
            </w:r>
            <w:proofErr w:type="spellStart"/>
            <w:r w:rsidRPr="00004F57">
              <w:rPr>
                <w:color w:val="auto"/>
                <w:lang w:val="uk-UA"/>
              </w:rPr>
              <w:t>least</w:t>
            </w:r>
            <w:proofErr w:type="spellEnd"/>
            <w:r w:rsidRPr="00004F57">
              <w:rPr>
                <w:color w:val="auto"/>
                <w:lang w:val="uk-UA"/>
              </w:rPr>
              <w:t xml:space="preserve"> </w:t>
            </w:r>
            <w:proofErr w:type="spellStart"/>
            <w:r w:rsidRPr="00004F57">
              <w:rPr>
                <w:color w:val="auto"/>
                <w:lang w:val="uk-UA"/>
              </w:rPr>
              <w:t>one</w:t>
            </w:r>
            <w:proofErr w:type="spellEnd"/>
            <w:r w:rsidRPr="00004F57">
              <w:rPr>
                <w:color w:val="auto"/>
                <w:lang w:val="uk-UA"/>
              </w:rPr>
              <w:t xml:space="preserve"> </w:t>
            </w:r>
            <w:proofErr w:type="spellStart"/>
            <w:r w:rsidRPr="00004F57">
              <w:rPr>
                <w:color w:val="auto"/>
                <w:lang w:val="uk-UA"/>
              </w:rPr>
              <w:t>year</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accordance</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a </w:t>
            </w:r>
            <w:proofErr w:type="spellStart"/>
            <w:r w:rsidRPr="00004F57">
              <w:rPr>
                <w:color w:val="auto"/>
                <w:lang w:val="uk-UA"/>
              </w:rPr>
              <w:t>Model</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which</w:t>
            </w:r>
            <w:proofErr w:type="spellEnd"/>
            <w:r w:rsidRPr="00004F57">
              <w:rPr>
                <w:color w:val="auto"/>
                <w:lang w:val="uk-UA"/>
              </w:rPr>
              <w:t xml:space="preserve"> </w:t>
            </w:r>
            <w:proofErr w:type="spellStart"/>
            <w:r w:rsidRPr="00004F57">
              <w:rPr>
                <w:color w:val="auto"/>
                <w:lang w:val="uk-UA"/>
              </w:rPr>
              <w:t>does</w:t>
            </w:r>
            <w:proofErr w:type="spellEnd"/>
            <w:r w:rsidRPr="00004F57">
              <w:rPr>
                <w:color w:val="auto"/>
                <w:lang w:val="uk-UA"/>
              </w:rPr>
              <w:t xml:space="preserve"> </w:t>
            </w:r>
            <w:proofErr w:type="spellStart"/>
            <w:r w:rsidRPr="00004F57">
              <w:rPr>
                <w:color w:val="auto"/>
                <w:lang w:val="uk-UA"/>
              </w:rPr>
              <w:t>not</w:t>
            </w:r>
            <w:proofErr w:type="spellEnd"/>
            <w:r w:rsidRPr="00004F57">
              <w:rPr>
                <w:color w:val="auto"/>
                <w:lang w:val="uk-UA"/>
              </w:rPr>
              <w:t xml:space="preserve"> </w:t>
            </w:r>
            <w:proofErr w:type="spellStart"/>
            <w:r w:rsidRPr="00004F57">
              <w:rPr>
                <w:color w:val="auto"/>
                <w:lang w:val="uk-UA"/>
              </w:rPr>
              <w:t>exist</w:t>
            </w:r>
            <w:proofErr w:type="spellEnd"/>
            <w:r w:rsidRPr="00004F57">
              <w:rPr>
                <w:color w:val="auto"/>
                <w:lang w:val="uk-UA"/>
              </w:rPr>
              <w:t xml:space="preserve"> </w:t>
            </w:r>
            <w:proofErr w:type="spellStart"/>
            <w:r w:rsidRPr="00004F57">
              <w:rPr>
                <w:color w:val="auto"/>
                <w:lang w:val="uk-UA"/>
              </w:rPr>
              <w:t>yet</w:t>
            </w:r>
            <w:proofErr w:type="spellEnd"/>
            <w:r w:rsidRPr="00004F57">
              <w:rPr>
                <w:color w:val="auto"/>
                <w:lang w:val="uk-UA"/>
              </w:rPr>
              <w:t xml:space="preserve">. </w:t>
            </w:r>
          </w:p>
          <w:p w:rsidR="00B977F5" w:rsidRPr="00B977F5" w:rsidRDefault="00B977F5" w:rsidP="00B977F5">
            <w:pPr>
              <w:pStyle w:val="Bullet"/>
              <w:numPr>
                <w:ilvl w:val="0"/>
                <w:numId w:val="0"/>
              </w:numPr>
              <w:spacing w:after="0"/>
              <w:ind w:left="426"/>
              <w:jc w:val="both"/>
              <w:rPr>
                <w:color w:val="auto"/>
                <w:lang w:val="uk-UA"/>
              </w:rPr>
            </w:pPr>
          </w:p>
          <w:p w:rsidR="00004F57" w:rsidRPr="00B977F5" w:rsidRDefault="00004F57" w:rsidP="00004F57">
            <w:pPr>
              <w:pStyle w:val="Bullet"/>
              <w:numPr>
                <w:ilvl w:val="0"/>
                <w:numId w:val="4"/>
              </w:numPr>
              <w:spacing w:after="0"/>
              <w:ind w:left="426" w:hanging="357"/>
              <w:jc w:val="both"/>
              <w:rPr>
                <w:color w:val="auto"/>
                <w:lang w:val="uk-UA"/>
              </w:rPr>
            </w:pPr>
            <w:proofErr w:type="spellStart"/>
            <w:r w:rsidRPr="00004F57">
              <w:rPr>
                <w:color w:val="auto"/>
                <w:lang w:val="uk-UA"/>
              </w:rPr>
              <w:t>Resolution</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979 </w:t>
            </w:r>
            <w:proofErr w:type="spellStart"/>
            <w:r w:rsidRPr="00004F57">
              <w:rPr>
                <w:color w:val="auto"/>
                <w:lang w:val="uk-UA"/>
              </w:rPr>
              <w:t>approves</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methodology</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calculation</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rates</w:t>
            </w:r>
            <w:proofErr w:type="spellEnd"/>
            <w:r w:rsidRPr="00004F57">
              <w:rPr>
                <w:color w:val="auto"/>
                <w:lang w:val="uk-UA"/>
              </w:rPr>
              <w:t xml:space="preserve"> </w:t>
            </w:r>
            <w:proofErr w:type="spellStart"/>
            <w:r w:rsidRPr="00004F57">
              <w:rPr>
                <w:color w:val="auto"/>
                <w:lang w:val="uk-UA"/>
              </w:rPr>
              <w:t>under</w:t>
            </w:r>
            <w:proofErr w:type="spellEnd"/>
            <w:r w:rsidRPr="00004F57">
              <w:rPr>
                <w:color w:val="auto"/>
                <w:lang w:val="uk-UA"/>
              </w:rPr>
              <w:t xml:space="preserve"> </w:t>
            </w:r>
            <w:proofErr w:type="spellStart"/>
            <w:r w:rsidRPr="00004F57">
              <w:rPr>
                <w:color w:val="auto"/>
                <w:lang w:val="uk-UA"/>
              </w:rPr>
              <w:t>agreements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development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deposits</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cases</w:t>
            </w:r>
            <w:proofErr w:type="spellEnd"/>
            <w:r w:rsidRPr="00004F57">
              <w:rPr>
                <w:color w:val="auto"/>
                <w:lang w:val="uk-UA"/>
              </w:rPr>
              <w:t xml:space="preserve"> </w:t>
            </w:r>
            <w:proofErr w:type="spellStart"/>
            <w:r w:rsidRPr="00004F57">
              <w:rPr>
                <w:color w:val="auto"/>
                <w:lang w:val="uk-UA"/>
              </w:rPr>
              <w:t>prescribed</w:t>
            </w:r>
            <w:proofErr w:type="spellEnd"/>
            <w:r w:rsidRPr="00004F57">
              <w:rPr>
                <w:color w:val="auto"/>
                <w:lang w:val="uk-UA"/>
              </w:rPr>
              <w:t xml:space="preserve"> </w:t>
            </w:r>
            <w:proofErr w:type="spellStart"/>
            <w:r w:rsidRPr="00004F57">
              <w:rPr>
                <w:color w:val="auto"/>
                <w:lang w:val="uk-UA"/>
              </w:rPr>
              <w:t>by</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Law</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Model</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as</w:t>
            </w:r>
            <w:proofErr w:type="spellEnd"/>
            <w:r w:rsidRPr="00004F57">
              <w:rPr>
                <w:color w:val="auto"/>
                <w:lang w:val="uk-UA"/>
              </w:rPr>
              <w:t xml:space="preserve"> </w:t>
            </w:r>
            <w:proofErr w:type="spellStart"/>
            <w:r w:rsidRPr="00004F57">
              <w:rPr>
                <w:color w:val="auto"/>
                <w:lang w:val="uk-UA"/>
              </w:rPr>
              <w:t>mentioned</w:t>
            </w:r>
            <w:proofErr w:type="spellEnd"/>
            <w:r w:rsidRPr="00004F57">
              <w:rPr>
                <w:color w:val="auto"/>
                <w:lang w:val="uk-UA"/>
              </w:rPr>
              <w:t xml:space="preserve"> </w:t>
            </w:r>
            <w:proofErr w:type="spellStart"/>
            <w:r w:rsidRPr="00004F57">
              <w:rPr>
                <w:color w:val="auto"/>
                <w:lang w:val="uk-UA"/>
              </w:rPr>
              <w:t>above</w:t>
            </w:r>
            <w:proofErr w:type="spellEnd"/>
            <w:r w:rsidRPr="00004F57">
              <w:rPr>
                <w:color w:val="auto"/>
                <w:lang w:val="uk-UA"/>
              </w:rPr>
              <w:t xml:space="preserve">).  </w:t>
            </w:r>
          </w:p>
          <w:p w:rsidR="00B977F5" w:rsidRDefault="00B977F5" w:rsidP="00B977F5">
            <w:pPr>
              <w:pStyle w:val="ListParagraph"/>
              <w:rPr>
                <w:lang w:val="en-US"/>
              </w:rPr>
            </w:pPr>
          </w:p>
          <w:p w:rsidR="00B977F5" w:rsidRDefault="00B977F5" w:rsidP="00B977F5">
            <w:pPr>
              <w:pStyle w:val="ListParagraph"/>
              <w:rPr>
                <w:lang w:val="en-US"/>
              </w:rPr>
            </w:pPr>
          </w:p>
          <w:p w:rsidR="00B977F5" w:rsidRDefault="00B977F5" w:rsidP="00B977F5">
            <w:pPr>
              <w:pStyle w:val="ListParagraph"/>
              <w:rPr>
                <w:lang w:val="en-US"/>
              </w:rPr>
            </w:pPr>
          </w:p>
          <w:p w:rsidR="00004F57" w:rsidRPr="00B977F5" w:rsidRDefault="00004F57" w:rsidP="00004F57">
            <w:pPr>
              <w:pStyle w:val="Bullet"/>
              <w:numPr>
                <w:ilvl w:val="0"/>
                <w:numId w:val="4"/>
              </w:numPr>
              <w:ind w:left="426" w:hanging="357"/>
              <w:jc w:val="both"/>
              <w:rPr>
                <w:color w:val="auto"/>
                <w:lang w:val="uk-UA"/>
              </w:rPr>
            </w:pP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sum</w:t>
            </w:r>
            <w:proofErr w:type="spellEnd"/>
            <w:r w:rsidRPr="00004F57">
              <w:rPr>
                <w:color w:val="auto"/>
                <w:lang w:val="uk-UA"/>
              </w:rPr>
              <w:t xml:space="preserve"> </w:t>
            </w:r>
            <w:proofErr w:type="spellStart"/>
            <w:r w:rsidRPr="00004F57">
              <w:rPr>
                <w:color w:val="auto"/>
                <w:lang w:val="uk-UA"/>
              </w:rPr>
              <w:t>insured</w:t>
            </w:r>
            <w:proofErr w:type="spellEnd"/>
            <w:r w:rsidRPr="00004F57">
              <w:rPr>
                <w:color w:val="auto"/>
                <w:lang w:val="uk-UA"/>
              </w:rPr>
              <w:t xml:space="preserve"> </w:t>
            </w:r>
            <w:proofErr w:type="spellStart"/>
            <w:r w:rsidRPr="00004F57">
              <w:rPr>
                <w:color w:val="auto"/>
                <w:lang w:val="uk-UA"/>
              </w:rPr>
              <w:t>under</w:t>
            </w:r>
            <w:proofErr w:type="spellEnd"/>
            <w:r w:rsidRPr="00004F57">
              <w:rPr>
                <w:color w:val="auto"/>
                <w:lang w:val="uk-UA"/>
              </w:rPr>
              <w:t xml:space="preserve"> </w:t>
            </w:r>
            <w:proofErr w:type="spellStart"/>
            <w:r w:rsidRPr="00004F57">
              <w:rPr>
                <w:color w:val="auto"/>
                <w:lang w:val="uk-UA"/>
              </w:rPr>
              <w:t>one</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should</w:t>
            </w:r>
            <w:proofErr w:type="spellEnd"/>
            <w:r w:rsidRPr="00004F57">
              <w:rPr>
                <w:color w:val="auto"/>
                <w:lang w:val="uk-UA"/>
              </w:rPr>
              <w:t xml:space="preserve"> </w:t>
            </w:r>
            <w:proofErr w:type="spellStart"/>
            <w:r w:rsidRPr="00004F57">
              <w:rPr>
                <w:color w:val="auto"/>
                <w:lang w:val="uk-UA"/>
              </w:rPr>
              <w:t>equal</w:t>
            </w:r>
            <w:proofErr w:type="spellEnd"/>
            <w:r>
              <w:rPr>
                <w:color w:val="auto"/>
                <w:lang w:val="en-US"/>
              </w:rPr>
              <w:t>:</w:t>
            </w:r>
          </w:p>
          <w:p w:rsidR="00004F57" w:rsidRPr="00B977F5" w:rsidRDefault="00004F57" w:rsidP="00004F57">
            <w:pPr>
              <w:pStyle w:val="Bullet"/>
              <w:numPr>
                <w:ilvl w:val="0"/>
                <w:numId w:val="5"/>
              </w:numPr>
              <w:spacing w:after="0"/>
              <w:ind w:left="567" w:hanging="215"/>
              <w:jc w:val="both"/>
              <w:rPr>
                <w:color w:val="auto"/>
                <w:lang w:val="uk-UA"/>
              </w:rPr>
            </w:pPr>
            <w:proofErr w:type="spellStart"/>
            <w:r w:rsidRPr="00004F57">
              <w:rPr>
                <w:color w:val="auto"/>
                <w:lang w:val="uk-UA"/>
              </w:rPr>
              <w:t>if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insurer’s</w:t>
            </w:r>
            <w:proofErr w:type="spellEnd"/>
            <w:r w:rsidRPr="00004F57">
              <w:rPr>
                <w:color w:val="auto"/>
                <w:lang w:val="uk-UA"/>
              </w:rPr>
              <w:t xml:space="preserve"> </w:t>
            </w:r>
            <w:proofErr w:type="spellStart"/>
            <w:r w:rsidRPr="00004F57">
              <w:rPr>
                <w:color w:val="auto"/>
                <w:lang w:val="uk-UA"/>
              </w:rPr>
              <w:t>annual</w:t>
            </w:r>
            <w:proofErr w:type="spellEnd"/>
            <w:r w:rsidRPr="00004F57">
              <w:rPr>
                <w:color w:val="auto"/>
                <w:lang w:val="uk-UA"/>
              </w:rPr>
              <w:t xml:space="preserve"> </w:t>
            </w:r>
            <w:proofErr w:type="spellStart"/>
            <w:r w:rsidRPr="00004F57">
              <w:rPr>
                <w:color w:val="auto"/>
                <w:lang w:val="uk-UA"/>
              </w:rPr>
              <w:t>capacity</w:t>
            </w:r>
            <w:proofErr w:type="spellEnd"/>
            <w:r w:rsidRPr="00004F57">
              <w:rPr>
                <w:color w:val="auto"/>
                <w:lang w:val="uk-UA"/>
              </w:rPr>
              <w:t xml:space="preserve"> </w:t>
            </w:r>
            <w:proofErr w:type="spellStart"/>
            <w:r w:rsidRPr="00004F57">
              <w:rPr>
                <w:color w:val="auto"/>
                <w:lang w:val="uk-UA"/>
              </w:rPr>
              <w:t>is</w:t>
            </w:r>
            <w:proofErr w:type="spellEnd"/>
            <w:r w:rsidRPr="00004F57">
              <w:rPr>
                <w:color w:val="auto"/>
                <w:lang w:val="uk-UA"/>
              </w:rPr>
              <w:t xml:space="preserve"> </w:t>
            </w:r>
            <w:proofErr w:type="spellStart"/>
            <w:r w:rsidRPr="00004F57">
              <w:rPr>
                <w:color w:val="auto"/>
                <w:lang w:val="uk-UA"/>
              </w:rPr>
              <w:t>more</w:t>
            </w:r>
            <w:proofErr w:type="spellEnd"/>
            <w:r w:rsidRPr="00004F57">
              <w:rPr>
                <w:color w:val="auto"/>
                <w:lang w:val="uk-UA"/>
              </w:rPr>
              <w:t xml:space="preserve"> </w:t>
            </w:r>
            <w:proofErr w:type="spellStart"/>
            <w:r w:rsidRPr="00004F57">
              <w:rPr>
                <w:color w:val="auto"/>
                <w:lang w:val="uk-UA"/>
              </w:rPr>
              <w:t>than</w:t>
            </w:r>
            <w:proofErr w:type="spellEnd"/>
            <w:r w:rsidRPr="00004F57">
              <w:rPr>
                <w:color w:val="auto"/>
                <w:lang w:val="uk-UA"/>
              </w:rPr>
              <w:t xml:space="preserve"> 100 </w:t>
            </w:r>
            <w:proofErr w:type="spellStart"/>
            <w:r w:rsidRPr="00004F57">
              <w:rPr>
                <w:color w:val="auto"/>
                <w:lang w:val="uk-UA"/>
              </w:rPr>
              <w:t>million</w:t>
            </w:r>
            <w:proofErr w:type="spellEnd"/>
            <w:r w:rsidRPr="00004F57">
              <w:rPr>
                <w:color w:val="auto"/>
                <w:lang w:val="uk-UA"/>
              </w:rPr>
              <w:t xml:space="preserve"> </w:t>
            </w:r>
            <w:proofErr w:type="spellStart"/>
            <w:r w:rsidRPr="00004F57">
              <w:rPr>
                <w:color w:val="auto"/>
                <w:lang w:val="uk-UA"/>
              </w:rPr>
              <w:t>cubic</w:t>
            </w:r>
            <w:proofErr w:type="spellEnd"/>
            <w:r w:rsidRPr="00004F57">
              <w:rPr>
                <w:color w:val="auto"/>
                <w:lang w:val="uk-UA"/>
              </w:rPr>
              <w:t xml:space="preserve"> </w:t>
            </w:r>
            <w:proofErr w:type="spellStart"/>
            <w:r w:rsidRPr="00004F57">
              <w:rPr>
                <w:color w:val="auto"/>
                <w:lang w:val="uk-UA"/>
              </w:rPr>
              <w:t>meters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or</w:t>
            </w:r>
            <w:proofErr w:type="spellEnd"/>
            <w:r w:rsidRPr="00004F57">
              <w:rPr>
                <w:color w:val="auto"/>
                <w:lang w:val="uk-UA"/>
              </w:rPr>
              <w:t xml:space="preserve"> 15 </w:t>
            </w:r>
            <w:proofErr w:type="spellStart"/>
            <w:r w:rsidRPr="00004F57">
              <w:rPr>
                <w:color w:val="auto"/>
                <w:lang w:val="uk-UA"/>
              </w:rPr>
              <w:t>thousand</w:t>
            </w:r>
            <w:proofErr w:type="spellEnd"/>
            <w:r w:rsidRPr="00004F57">
              <w:rPr>
                <w:color w:val="auto"/>
                <w:lang w:val="uk-UA"/>
              </w:rPr>
              <w:t xml:space="preserve"> </w:t>
            </w:r>
            <w:proofErr w:type="spellStart"/>
            <w:r w:rsidRPr="00004F57">
              <w:rPr>
                <w:color w:val="auto"/>
                <w:lang w:val="uk-UA"/>
              </w:rPr>
              <w:t>tons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gas-</w:t>
            </w:r>
            <w:proofErr w:type="spellStart"/>
            <w:r w:rsidRPr="00004F57">
              <w:rPr>
                <w:color w:val="auto"/>
                <w:lang w:val="uk-UA"/>
              </w:rPr>
              <w:t>condensate</w:t>
            </w:r>
            <w:proofErr w:type="spellEnd"/>
            <w:r w:rsidRPr="00004F57">
              <w:rPr>
                <w:color w:val="auto"/>
                <w:lang w:val="uk-UA"/>
              </w:rPr>
              <w:t xml:space="preserve">, - 10,000,000 </w:t>
            </w:r>
            <w:proofErr w:type="spellStart"/>
            <w:r w:rsidRPr="00004F57">
              <w:rPr>
                <w:color w:val="auto"/>
                <w:lang w:val="uk-UA"/>
              </w:rPr>
              <w:t>untaxed</w:t>
            </w:r>
            <w:proofErr w:type="spellEnd"/>
            <w:r w:rsidRPr="00004F57">
              <w:rPr>
                <w:color w:val="auto"/>
                <w:lang w:val="uk-UA"/>
              </w:rPr>
              <w:t xml:space="preserve"> </w:t>
            </w:r>
            <w:proofErr w:type="spellStart"/>
            <w:r w:rsidRPr="00004F57">
              <w:rPr>
                <w:color w:val="auto"/>
                <w:lang w:val="uk-UA"/>
              </w:rPr>
              <w:t>minimums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individual</w:t>
            </w:r>
            <w:proofErr w:type="spellEnd"/>
            <w:r w:rsidRPr="00004F57">
              <w:rPr>
                <w:color w:val="auto"/>
                <w:lang w:val="uk-UA"/>
              </w:rPr>
              <w:t xml:space="preserve"> </w:t>
            </w:r>
            <w:proofErr w:type="spellStart"/>
            <w:r w:rsidRPr="00004F57">
              <w:rPr>
                <w:color w:val="auto"/>
                <w:lang w:val="uk-UA"/>
              </w:rPr>
              <w:t>income</w:t>
            </w:r>
            <w:proofErr w:type="spellEnd"/>
            <w:r w:rsidRPr="00004F57">
              <w:rPr>
                <w:color w:val="auto"/>
                <w:lang w:val="uk-UA"/>
              </w:rPr>
              <w:t xml:space="preserve"> [</w:t>
            </w:r>
            <w:proofErr w:type="spellStart"/>
            <w:r w:rsidRPr="00004F57">
              <w:rPr>
                <w:color w:val="auto"/>
                <w:lang w:val="uk-UA"/>
              </w:rPr>
              <w:t>currently</w:t>
            </w:r>
            <w:proofErr w:type="spellEnd"/>
            <w:r w:rsidRPr="00004F57">
              <w:rPr>
                <w:color w:val="auto"/>
                <w:lang w:val="uk-UA"/>
              </w:rPr>
              <w:t xml:space="preserve"> </w:t>
            </w:r>
            <w:proofErr w:type="spellStart"/>
            <w:r w:rsidRPr="00004F57">
              <w:rPr>
                <w:color w:val="auto"/>
                <w:lang w:val="uk-UA"/>
              </w:rPr>
              <w:t>set</w:t>
            </w:r>
            <w:proofErr w:type="spellEnd"/>
            <w:r w:rsidRPr="00004F57">
              <w:rPr>
                <w:color w:val="auto"/>
                <w:lang w:val="uk-UA"/>
              </w:rPr>
              <w:t xml:space="preserve"> </w:t>
            </w:r>
            <w:proofErr w:type="spellStart"/>
            <w:r w:rsidRPr="00004F57">
              <w:rPr>
                <w:color w:val="auto"/>
                <w:lang w:val="uk-UA"/>
              </w:rPr>
              <w:t>at</w:t>
            </w:r>
            <w:proofErr w:type="spellEnd"/>
            <w:r w:rsidRPr="00004F57">
              <w:rPr>
                <w:color w:val="auto"/>
                <w:lang w:val="uk-UA"/>
              </w:rPr>
              <w:t xml:space="preserve"> 17 UAH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one</w:t>
            </w:r>
            <w:proofErr w:type="spellEnd"/>
            <w:r w:rsidRPr="00004F57">
              <w:rPr>
                <w:color w:val="auto"/>
                <w:lang w:val="uk-UA"/>
              </w:rPr>
              <w:t xml:space="preserve"> </w:t>
            </w:r>
            <w:proofErr w:type="spellStart"/>
            <w:r w:rsidRPr="00004F57">
              <w:rPr>
                <w:color w:val="auto"/>
                <w:lang w:val="uk-UA"/>
              </w:rPr>
              <w:t>untaxed</w:t>
            </w:r>
            <w:proofErr w:type="spellEnd"/>
            <w:r w:rsidRPr="00004F57">
              <w:rPr>
                <w:color w:val="auto"/>
                <w:lang w:val="uk-UA"/>
              </w:rPr>
              <w:t xml:space="preserve"> </w:t>
            </w:r>
            <w:proofErr w:type="spellStart"/>
            <w:r w:rsidRPr="00004F57">
              <w:rPr>
                <w:color w:val="auto"/>
                <w:lang w:val="uk-UA"/>
              </w:rPr>
              <w:t>minimum</w:t>
            </w:r>
            <w:proofErr w:type="spellEnd"/>
            <w:r w:rsidRPr="00004F57">
              <w:rPr>
                <w:color w:val="auto"/>
                <w:lang w:val="uk-UA"/>
              </w:rPr>
              <w:t>];</w:t>
            </w:r>
          </w:p>
          <w:p w:rsidR="00B977F5" w:rsidRPr="00B977F5" w:rsidRDefault="00B977F5" w:rsidP="00B977F5">
            <w:pPr>
              <w:pStyle w:val="Bullet"/>
              <w:numPr>
                <w:ilvl w:val="0"/>
                <w:numId w:val="0"/>
              </w:numPr>
              <w:spacing w:after="0"/>
              <w:ind w:left="567"/>
              <w:jc w:val="both"/>
              <w:rPr>
                <w:color w:val="auto"/>
                <w:lang w:val="uk-UA"/>
              </w:rPr>
            </w:pPr>
          </w:p>
          <w:p w:rsidR="00B977F5" w:rsidRDefault="00B977F5" w:rsidP="00B977F5">
            <w:pPr>
              <w:pStyle w:val="Bullet"/>
              <w:numPr>
                <w:ilvl w:val="0"/>
                <w:numId w:val="0"/>
              </w:numPr>
              <w:spacing w:after="0"/>
              <w:ind w:left="567"/>
              <w:jc w:val="both"/>
              <w:rPr>
                <w:color w:val="auto"/>
                <w:lang w:val="en-US"/>
              </w:rPr>
            </w:pPr>
          </w:p>
          <w:p w:rsidR="00B977F5" w:rsidRPr="00004F57" w:rsidRDefault="00B977F5" w:rsidP="00B977F5">
            <w:pPr>
              <w:pStyle w:val="Bullet"/>
              <w:numPr>
                <w:ilvl w:val="0"/>
                <w:numId w:val="0"/>
              </w:numPr>
              <w:spacing w:after="0"/>
              <w:ind w:left="567"/>
              <w:jc w:val="both"/>
              <w:rPr>
                <w:color w:val="auto"/>
                <w:lang w:val="uk-UA"/>
              </w:rPr>
            </w:pPr>
          </w:p>
          <w:p w:rsidR="00004F57" w:rsidRPr="00B977F5" w:rsidRDefault="00004F57" w:rsidP="00004F57">
            <w:pPr>
              <w:pStyle w:val="Bullet"/>
              <w:numPr>
                <w:ilvl w:val="0"/>
                <w:numId w:val="5"/>
              </w:numPr>
              <w:spacing w:after="0"/>
              <w:ind w:left="567" w:hanging="215"/>
              <w:jc w:val="both"/>
              <w:rPr>
                <w:color w:val="auto"/>
                <w:lang w:val="uk-UA"/>
              </w:rPr>
            </w:pPr>
            <w:proofErr w:type="spellStart"/>
            <w:r w:rsidRPr="00004F57">
              <w:rPr>
                <w:color w:val="auto"/>
                <w:lang w:val="uk-UA"/>
              </w:rPr>
              <w:t>if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insurer’s</w:t>
            </w:r>
            <w:proofErr w:type="spellEnd"/>
            <w:r w:rsidRPr="00004F57">
              <w:rPr>
                <w:color w:val="auto"/>
                <w:lang w:val="uk-UA"/>
              </w:rPr>
              <w:t xml:space="preserve"> </w:t>
            </w:r>
            <w:proofErr w:type="spellStart"/>
            <w:r w:rsidRPr="00004F57">
              <w:rPr>
                <w:color w:val="auto"/>
                <w:lang w:val="uk-UA"/>
              </w:rPr>
              <w:t>annual</w:t>
            </w:r>
            <w:proofErr w:type="spellEnd"/>
            <w:r w:rsidRPr="00004F57">
              <w:rPr>
                <w:color w:val="auto"/>
                <w:lang w:val="uk-UA"/>
              </w:rPr>
              <w:t xml:space="preserve"> </w:t>
            </w:r>
            <w:proofErr w:type="spellStart"/>
            <w:r w:rsidRPr="00004F57">
              <w:rPr>
                <w:color w:val="auto"/>
                <w:lang w:val="uk-UA"/>
              </w:rPr>
              <w:t>capacity</w:t>
            </w:r>
            <w:proofErr w:type="spellEnd"/>
            <w:r w:rsidRPr="00004F57">
              <w:rPr>
                <w:color w:val="auto"/>
                <w:lang w:val="uk-UA"/>
              </w:rPr>
              <w:t xml:space="preserve"> </w:t>
            </w:r>
            <w:proofErr w:type="spellStart"/>
            <w:r w:rsidRPr="00004F57">
              <w:rPr>
                <w:color w:val="auto"/>
                <w:lang w:val="uk-UA"/>
              </w:rPr>
              <w:t>is</w:t>
            </w:r>
            <w:proofErr w:type="spellEnd"/>
            <w:r w:rsidRPr="00004F57">
              <w:rPr>
                <w:color w:val="auto"/>
                <w:lang w:val="uk-UA"/>
              </w:rPr>
              <w:t xml:space="preserve"> </w:t>
            </w:r>
            <w:proofErr w:type="spellStart"/>
            <w:r w:rsidRPr="00004F57">
              <w:rPr>
                <w:color w:val="auto"/>
                <w:lang w:val="uk-UA"/>
              </w:rPr>
              <w:t>from</w:t>
            </w:r>
            <w:proofErr w:type="spellEnd"/>
            <w:r w:rsidRPr="00004F57">
              <w:rPr>
                <w:color w:val="auto"/>
                <w:lang w:val="uk-UA"/>
              </w:rPr>
              <w:t xml:space="preserve"> 20 </w:t>
            </w:r>
            <w:proofErr w:type="spellStart"/>
            <w:r w:rsidRPr="00004F57">
              <w:rPr>
                <w:color w:val="auto"/>
                <w:lang w:val="uk-UA"/>
              </w:rPr>
              <w:t>million</w:t>
            </w:r>
            <w:proofErr w:type="spellEnd"/>
            <w:r w:rsidRPr="00004F57">
              <w:rPr>
                <w:color w:val="auto"/>
                <w:lang w:val="uk-UA"/>
              </w:rPr>
              <w:t xml:space="preserve"> </w:t>
            </w:r>
            <w:proofErr w:type="spellStart"/>
            <w:r w:rsidRPr="00004F57">
              <w:rPr>
                <w:color w:val="auto"/>
                <w:lang w:val="uk-UA"/>
              </w:rPr>
              <w:t>cubic</w:t>
            </w:r>
            <w:proofErr w:type="spellEnd"/>
            <w:r w:rsidRPr="00004F57">
              <w:rPr>
                <w:color w:val="auto"/>
                <w:lang w:val="uk-UA"/>
              </w:rPr>
              <w:t xml:space="preserve"> </w:t>
            </w:r>
            <w:proofErr w:type="spellStart"/>
            <w:r w:rsidRPr="00004F57">
              <w:rPr>
                <w:color w:val="auto"/>
                <w:lang w:val="uk-UA"/>
              </w:rPr>
              <w:t>meters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or</w:t>
            </w:r>
            <w:proofErr w:type="spellEnd"/>
            <w:r w:rsidRPr="00004F57">
              <w:rPr>
                <w:color w:val="auto"/>
                <w:lang w:val="uk-UA"/>
              </w:rPr>
              <w:t xml:space="preserve"> </w:t>
            </w:r>
            <w:proofErr w:type="spellStart"/>
            <w:r w:rsidRPr="00004F57">
              <w:rPr>
                <w:color w:val="auto"/>
                <w:lang w:val="uk-UA"/>
              </w:rPr>
              <w:t>three</w:t>
            </w:r>
            <w:proofErr w:type="spellEnd"/>
            <w:r w:rsidRPr="00004F57">
              <w:rPr>
                <w:color w:val="auto"/>
                <w:lang w:val="uk-UA"/>
              </w:rPr>
              <w:t xml:space="preserve"> </w:t>
            </w:r>
            <w:proofErr w:type="spellStart"/>
            <w:r w:rsidRPr="00004F57">
              <w:rPr>
                <w:color w:val="auto"/>
                <w:lang w:val="uk-UA"/>
              </w:rPr>
              <w:t>thousand</w:t>
            </w:r>
            <w:proofErr w:type="spellEnd"/>
            <w:r w:rsidRPr="00004F57">
              <w:rPr>
                <w:color w:val="auto"/>
                <w:lang w:val="uk-UA"/>
              </w:rPr>
              <w:t xml:space="preserve"> </w:t>
            </w:r>
            <w:proofErr w:type="spellStart"/>
            <w:r w:rsidRPr="00004F57">
              <w:rPr>
                <w:color w:val="auto"/>
                <w:lang w:val="uk-UA"/>
              </w:rPr>
              <w:t>tons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gas-</w:t>
            </w:r>
            <w:proofErr w:type="spellStart"/>
            <w:r w:rsidRPr="00004F57">
              <w:rPr>
                <w:color w:val="auto"/>
                <w:lang w:val="uk-UA"/>
              </w:rPr>
              <w:t>condensate</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100 </w:t>
            </w:r>
            <w:proofErr w:type="spellStart"/>
            <w:r w:rsidRPr="00004F57">
              <w:rPr>
                <w:color w:val="auto"/>
                <w:lang w:val="uk-UA"/>
              </w:rPr>
              <w:t>million</w:t>
            </w:r>
            <w:proofErr w:type="spellEnd"/>
            <w:r w:rsidRPr="00004F57">
              <w:rPr>
                <w:color w:val="auto"/>
                <w:lang w:val="uk-UA"/>
              </w:rPr>
              <w:t xml:space="preserve"> </w:t>
            </w:r>
            <w:proofErr w:type="spellStart"/>
            <w:r w:rsidRPr="00004F57">
              <w:rPr>
                <w:color w:val="auto"/>
                <w:lang w:val="uk-UA"/>
              </w:rPr>
              <w:t>cubic</w:t>
            </w:r>
            <w:proofErr w:type="spellEnd"/>
            <w:r w:rsidRPr="00004F57">
              <w:rPr>
                <w:color w:val="auto"/>
                <w:lang w:val="uk-UA"/>
              </w:rPr>
              <w:t xml:space="preserve"> </w:t>
            </w:r>
            <w:proofErr w:type="spellStart"/>
            <w:r w:rsidRPr="00004F57">
              <w:rPr>
                <w:color w:val="auto"/>
                <w:lang w:val="uk-UA"/>
              </w:rPr>
              <w:t>meters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or</w:t>
            </w:r>
            <w:proofErr w:type="spellEnd"/>
            <w:r w:rsidRPr="00004F57">
              <w:rPr>
                <w:color w:val="auto"/>
                <w:lang w:val="uk-UA"/>
              </w:rPr>
              <w:t xml:space="preserve"> 15 </w:t>
            </w:r>
            <w:proofErr w:type="spellStart"/>
            <w:r w:rsidRPr="00004F57">
              <w:rPr>
                <w:color w:val="auto"/>
                <w:lang w:val="uk-UA"/>
              </w:rPr>
              <w:t>thousand</w:t>
            </w:r>
            <w:proofErr w:type="spellEnd"/>
            <w:r w:rsidRPr="00004F57">
              <w:rPr>
                <w:color w:val="auto"/>
                <w:lang w:val="uk-UA"/>
              </w:rPr>
              <w:t xml:space="preserve"> </w:t>
            </w:r>
            <w:proofErr w:type="spellStart"/>
            <w:r w:rsidRPr="00004F57">
              <w:rPr>
                <w:color w:val="auto"/>
                <w:lang w:val="uk-UA"/>
              </w:rPr>
              <w:t>tons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gas-</w:t>
            </w:r>
            <w:proofErr w:type="spellStart"/>
            <w:r w:rsidRPr="00004F57">
              <w:rPr>
                <w:color w:val="auto"/>
                <w:lang w:val="uk-UA"/>
              </w:rPr>
              <w:t>condensate</w:t>
            </w:r>
            <w:proofErr w:type="spellEnd"/>
            <w:r w:rsidRPr="00004F57">
              <w:rPr>
                <w:color w:val="auto"/>
                <w:lang w:val="uk-UA"/>
              </w:rPr>
              <w:t xml:space="preserve">, - 6,000,000 </w:t>
            </w:r>
            <w:proofErr w:type="spellStart"/>
            <w:r w:rsidRPr="00004F57">
              <w:rPr>
                <w:color w:val="auto"/>
                <w:lang w:val="uk-UA"/>
              </w:rPr>
              <w:t>untaxed</w:t>
            </w:r>
            <w:proofErr w:type="spellEnd"/>
            <w:r w:rsidRPr="00004F57">
              <w:rPr>
                <w:color w:val="auto"/>
                <w:lang w:val="uk-UA"/>
              </w:rPr>
              <w:t xml:space="preserve"> </w:t>
            </w:r>
            <w:proofErr w:type="spellStart"/>
            <w:r w:rsidRPr="00004F57">
              <w:rPr>
                <w:color w:val="auto"/>
                <w:lang w:val="uk-UA"/>
              </w:rPr>
              <w:t>minimums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individual</w:t>
            </w:r>
            <w:proofErr w:type="spellEnd"/>
            <w:r w:rsidRPr="00004F57">
              <w:rPr>
                <w:color w:val="auto"/>
                <w:lang w:val="uk-UA"/>
              </w:rPr>
              <w:t xml:space="preserve"> </w:t>
            </w:r>
            <w:proofErr w:type="spellStart"/>
            <w:r w:rsidRPr="00004F57">
              <w:rPr>
                <w:color w:val="auto"/>
                <w:lang w:val="uk-UA"/>
              </w:rPr>
              <w:t>income</w:t>
            </w:r>
            <w:proofErr w:type="spellEnd"/>
            <w:r w:rsidRPr="00004F57">
              <w:rPr>
                <w:color w:val="auto"/>
                <w:lang w:val="uk-UA"/>
              </w:rPr>
              <w:t xml:space="preserve"> ; </w:t>
            </w:r>
          </w:p>
          <w:p w:rsidR="00B977F5" w:rsidRDefault="00B977F5" w:rsidP="00B977F5">
            <w:pPr>
              <w:pStyle w:val="Bullet"/>
              <w:numPr>
                <w:ilvl w:val="0"/>
                <w:numId w:val="0"/>
              </w:numPr>
              <w:spacing w:after="0"/>
              <w:ind w:left="567"/>
              <w:jc w:val="both"/>
              <w:rPr>
                <w:color w:val="auto"/>
                <w:lang w:val="en-US"/>
              </w:rPr>
            </w:pPr>
          </w:p>
          <w:p w:rsidR="00BF5AFD" w:rsidRDefault="00BF5AFD" w:rsidP="00B977F5">
            <w:pPr>
              <w:pStyle w:val="Bullet"/>
              <w:numPr>
                <w:ilvl w:val="0"/>
                <w:numId w:val="0"/>
              </w:numPr>
              <w:spacing w:after="0"/>
              <w:ind w:left="567"/>
              <w:jc w:val="both"/>
              <w:rPr>
                <w:color w:val="auto"/>
                <w:lang w:val="en-US"/>
              </w:rPr>
            </w:pPr>
          </w:p>
          <w:p w:rsidR="00004F57" w:rsidRPr="00B977F5" w:rsidRDefault="00004F57" w:rsidP="00004F57">
            <w:pPr>
              <w:pStyle w:val="Bullet"/>
              <w:numPr>
                <w:ilvl w:val="0"/>
                <w:numId w:val="5"/>
              </w:numPr>
              <w:spacing w:after="0"/>
              <w:ind w:left="567" w:hanging="215"/>
              <w:jc w:val="both"/>
              <w:rPr>
                <w:color w:val="auto"/>
                <w:lang w:val="uk-UA"/>
              </w:rPr>
            </w:pPr>
            <w:proofErr w:type="spellStart"/>
            <w:r w:rsidRPr="00004F57">
              <w:rPr>
                <w:color w:val="auto"/>
                <w:lang w:val="uk-UA"/>
              </w:rPr>
              <w:t>if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insurer’s</w:t>
            </w:r>
            <w:proofErr w:type="spellEnd"/>
            <w:r w:rsidRPr="00004F57">
              <w:rPr>
                <w:color w:val="auto"/>
                <w:lang w:val="uk-UA"/>
              </w:rPr>
              <w:t xml:space="preserve"> </w:t>
            </w:r>
            <w:proofErr w:type="spellStart"/>
            <w:r w:rsidRPr="00004F57">
              <w:rPr>
                <w:color w:val="auto"/>
                <w:lang w:val="uk-UA"/>
              </w:rPr>
              <w:t>annual</w:t>
            </w:r>
            <w:proofErr w:type="spellEnd"/>
            <w:r w:rsidRPr="00004F57">
              <w:rPr>
                <w:color w:val="auto"/>
                <w:lang w:val="uk-UA"/>
              </w:rPr>
              <w:t xml:space="preserve"> </w:t>
            </w:r>
            <w:proofErr w:type="spellStart"/>
            <w:r w:rsidRPr="00004F57">
              <w:rPr>
                <w:color w:val="auto"/>
                <w:lang w:val="uk-UA"/>
              </w:rPr>
              <w:t>capacity</w:t>
            </w:r>
            <w:proofErr w:type="spellEnd"/>
            <w:r w:rsidRPr="00004F57">
              <w:rPr>
                <w:color w:val="auto"/>
                <w:lang w:val="uk-UA"/>
              </w:rPr>
              <w:t xml:space="preserve"> </w:t>
            </w:r>
            <w:proofErr w:type="spellStart"/>
            <w:r w:rsidRPr="00004F57">
              <w:rPr>
                <w:color w:val="auto"/>
                <w:lang w:val="uk-UA"/>
              </w:rPr>
              <w:t>is</w:t>
            </w:r>
            <w:proofErr w:type="spellEnd"/>
            <w:r w:rsidRPr="00004F57">
              <w:rPr>
                <w:color w:val="auto"/>
                <w:lang w:val="uk-UA"/>
              </w:rPr>
              <w:t xml:space="preserve"> </w:t>
            </w:r>
            <w:proofErr w:type="spellStart"/>
            <w:r w:rsidRPr="00004F57">
              <w:rPr>
                <w:color w:val="auto"/>
                <w:lang w:val="uk-UA"/>
              </w:rPr>
              <w:t>less</w:t>
            </w:r>
            <w:proofErr w:type="spellEnd"/>
            <w:r w:rsidRPr="00004F57">
              <w:rPr>
                <w:color w:val="auto"/>
                <w:lang w:val="uk-UA"/>
              </w:rPr>
              <w:t xml:space="preserve"> </w:t>
            </w:r>
            <w:proofErr w:type="spellStart"/>
            <w:r w:rsidRPr="00004F57">
              <w:rPr>
                <w:color w:val="auto"/>
                <w:lang w:val="uk-UA"/>
              </w:rPr>
              <w:t>than</w:t>
            </w:r>
            <w:proofErr w:type="spellEnd"/>
            <w:r w:rsidRPr="00004F57">
              <w:rPr>
                <w:color w:val="auto"/>
                <w:lang w:val="uk-UA"/>
              </w:rPr>
              <w:t xml:space="preserve"> 20 </w:t>
            </w:r>
            <w:proofErr w:type="spellStart"/>
            <w:r w:rsidRPr="00004F57">
              <w:rPr>
                <w:color w:val="auto"/>
                <w:lang w:val="uk-UA"/>
              </w:rPr>
              <w:t>cubic</w:t>
            </w:r>
            <w:proofErr w:type="spellEnd"/>
            <w:r w:rsidRPr="00004F57">
              <w:rPr>
                <w:color w:val="auto"/>
                <w:lang w:val="uk-UA"/>
              </w:rPr>
              <w:t xml:space="preserve"> </w:t>
            </w:r>
            <w:proofErr w:type="spellStart"/>
            <w:r w:rsidRPr="00004F57">
              <w:rPr>
                <w:color w:val="auto"/>
                <w:lang w:val="uk-UA"/>
              </w:rPr>
              <w:t>meters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or</w:t>
            </w:r>
            <w:proofErr w:type="spellEnd"/>
            <w:r w:rsidRPr="00004F57">
              <w:rPr>
                <w:color w:val="auto"/>
                <w:lang w:val="uk-UA"/>
              </w:rPr>
              <w:t xml:space="preserve"> </w:t>
            </w:r>
            <w:proofErr w:type="spellStart"/>
            <w:r w:rsidRPr="00004F57">
              <w:rPr>
                <w:color w:val="auto"/>
                <w:lang w:val="uk-UA"/>
              </w:rPr>
              <w:t>three</w:t>
            </w:r>
            <w:proofErr w:type="spellEnd"/>
            <w:r w:rsidRPr="00004F57">
              <w:rPr>
                <w:color w:val="auto"/>
                <w:lang w:val="uk-UA"/>
              </w:rPr>
              <w:t xml:space="preserve"> </w:t>
            </w:r>
            <w:proofErr w:type="spellStart"/>
            <w:r w:rsidRPr="00004F57">
              <w:rPr>
                <w:color w:val="auto"/>
                <w:lang w:val="uk-UA"/>
              </w:rPr>
              <w:t>thousand</w:t>
            </w:r>
            <w:proofErr w:type="spellEnd"/>
            <w:r w:rsidRPr="00004F57">
              <w:rPr>
                <w:color w:val="auto"/>
                <w:lang w:val="uk-UA"/>
              </w:rPr>
              <w:t xml:space="preserve"> </w:t>
            </w:r>
            <w:proofErr w:type="spellStart"/>
            <w:r w:rsidRPr="00004F57">
              <w:rPr>
                <w:color w:val="auto"/>
                <w:lang w:val="uk-UA"/>
              </w:rPr>
              <w:t>tons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oil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gas-</w:t>
            </w:r>
            <w:proofErr w:type="spellStart"/>
            <w:r w:rsidRPr="00004F57">
              <w:rPr>
                <w:color w:val="auto"/>
                <w:lang w:val="uk-UA"/>
              </w:rPr>
              <w:t>condensate</w:t>
            </w:r>
            <w:proofErr w:type="spellEnd"/>
            <w:r w:rsidRPr="00004F57">
              <w:rPr>
                <w:color w:val="auto"/>
                <w:lang w:val="en-US"/>
              </w:rPr>
              <w:t xml:space="preserve"> </w:t>
            </w:r>
            <w:r w:rsidRPr="00004F57">
              <w:rPr>
                <w:color w:val="auto"/>
                <w:lang w:val="uk-UA"/>
              </w:rPr>
              <w:t xml:space="preserve">- 4,000,000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untaxed</w:t>
            </w:r>
            <w:proofErr w:type="spellEnd"/>
            <w:r w:rsidRPr="00004F57">
              <w:rPr>
                <w:color w:val="auto"/>
                <w:lang w:val="uk-UA"/>
              </w:rPr>
              <w:t xml:space="preserve"> </w:t>
            </w:r>
            <w:proofErr w:type="spellStart"/>
            <w:r w:rsidRPr="00004F57">
              <w:rPr>
                <w:color w:val="auto"/>
                <w:lang w:val="uk-UA"/>
              </w:rPr>
              <w:t>minimums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individual</w:t>
            </w:r>
            <w:proofErr w:type="spellEnd"/>
            <w:r w:rsidRPr="00004F57">
              <w:rPr>
                <w:color w:val="auto"/>
                <w:lang w:val="uk-UA"/>
              </w:rPr>
              <w:t xml:space="preserve"> </w:t>
            </w:r>
            <w:proofErr w:type="spellStart"/>
            <w:r w:rsidRPr="00004F57">
              <w:rPr>
                <w:color w:val="auto"/>
                <w:lang w:val="uk-UA"/>
              </w:rPr>
              <w:t>income</w:t>
            </w:r>
            <w:proofErr w:type="spellEnd"/>
            <w:r w:rsidRPr="00004F57">
              <w:rPr>
                <w:color w:val="auto"/>
                <w:lang w:val="uk-UA"/>
              </w:rPr>
              <w:t>.</w:t>
            </w:r>
          </w:p>
          <w:p w:rsidR="00B977F5" w:rsidRDefault="00B977F5" w:rsidP="00B977F5">
            <w:pPr>
              <w:pStyle w:val="Bullet"/>
              <w:numPr>
                <w:ilvl w:val="0"/>
                <w:numId w:val="0"/>
              </w:numPr>
              <w:spacing w:after="0"/>
              <w:ind w:left="567"/>
              <w:jc w:val="both"/>
              <w:rPr>
                <w:color w:val="auto"/>
                <w:lang w:val="en-US"/>
              </w:rPr>
            </w:pPr>
          </w:p>
          <w:p w:rsidR="00BF5AFD" w:rsidRDefault="00BF5AFD" w:rsidP="00B977F5">
            <w:pPr>
              <w:pStyle w:val="Bullet"/>
              <w:numPr>
                <w:ilvl w:val="0"/>
                <w:numId w:val="0"/>
              </w:numPr>
              <w:spacing w:after="0"/>
              <w:ind w:left="567"/>
              <w:jc w:val="both"/>
              <w:rPr>
                <w:color w:val="auto"/>
                <w:lang w:val="en-US"/>
              </w:rPr>
            </w:pPr>
          </w:p>
          <w:p w:rsidR="00BF5AFD" w:rsidRPr="00BF5AFD" w:rsidRDefault="00BF5AFD" w:rsidP="00B977F5">
            <w:pPr>
              <w:pStyle w:val="Bullet"/>
              <w:numPr>
                <w:ilvl w:val="0"/>
                <w:numId w:val="0"/>
              </w:numPr>
              <w:spacing w:after="0"/>
              <w:ind w:left="567"/>
              <w:jc w:val="both"/>
              <w:rPr>
                <w:color w:val="auto"/>
                <w:lang w:val="en-US"/>
              </w:rPr>
            </w:pPr>
          </w:p>
          <w:p w:rsidR="00004F57" w:rsidRPr="00B977F5" w:rsidRDefault="00004F57" w:rsidP="00004F57">
            <w:pPr>
              <w:pStyle w:val="Bullet"/>
              <w:numPr>
                <w:ilvl w:val="0"/>
                <w:numId w:val="5"/>
              </w:numPr>
              <w:spacing w:after="0"/>
              <w:ind w:left="567" w:hanging="215"/>
              <w:jc w:val="both"/>
              <w:rPr>
                <w:color w:val="auto"/>
                <w:lang w:val="uk-UA"/>
              </w:rPr>
            </w:pP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case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extraction</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natural</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resources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public</w:t>
            </w:r>
            <w:proofErr w:type="spellEnd"/>
            <w:r w:rsidRPr="00004F57">
              <w:rPr>
                <w:color w:val="auto"/>
                <w:lang w:val="uk-UA"/>
              </w:rPr>
              <w:t xml:space="preserve"> </w:t>
            </w:r>
            <w:proofErr w:type="spellStart"/>
            <w:r w:rsidRPr="00004F57">
              <w:rPr>
                <w:color w:val="auto"/>
                <w:lang w:val="uk-UA"/>
              </w:rPr>
              <w:t>needs</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accordance</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w:t>
            </w:r>
            <w:proofErr w:type="spellStart"/>
            <w:r w:rsidRPr="00004F57">
              <w:rPr>
                <w:color w:val="auto"/>
                <w:lang w:val="uk-UA"/>
              </w:rPr>
              <w:t>Article</w:t>
            </w:r>
            <w:proofErr w:type="spellEnd"/>
            <w:r w:rsidRPr="00004F57">
              <w:rPr>
                <w:color w:val="auto"/>
                <w:lang w:val="uk-UA"/>
              </w:rPr>
              <w:t xml:space="preserve"> 10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Law</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Principles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Natural</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Market</w:t>
            </w:r>
            <w:proofErr w:type="spellEnd"/>
            <w:r w:rsidRPr="00004F57">
              <w:rPr>
                <w:color w:val="auto"/>
                <w:lang w:val="uk-UA"/>
              </w:rPr>
              <w:t xml:space="preserve"> </w:t>
            </w:r>
            <w:proofErr w:type="spellStart"/>
            <w:r w:rsidRPr="00004F57">
              <w:rPr>
                <w:color w:val="auto"/>
                <w:lang w:val="uk-UA"/>
              </w:rPr>
              <w:t>Functioning</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sum</w:t>
            </w:r>
            <w:proofErr w:type="spellEnd"/>
            <w:r w:rsidRPr="00004F57">
              <w:rPr>
                <w:color w:val="auto"/>
                <w:lang w:val="uk-UA"/>
              </w:rPr>
              <w:t xml:space="preserve"> </w:t>
            </w:r>
            <w:proofErr w:type="spellStart"/>
            <w:r w:rsidRPr="00004F57">
              <w:rPr>
                <w:color w:val="auto"/>
                <w:lang w:val="uk-UA"/>
              </w:rPr>
              <w:t>insured</w:t>
            </w:r>
            <w:proofErr w:type="spellEnd"/>
            <w:r w:rsidRPr="00004F57">
              <w:rPr>
                <w:color w:val="auto"/>
                <w:lang w:val="uk-UA"/>
              </w:rPr>
              <w:t xml:space="preserve"> </w:t>
            </w:r>
            <w:proofErr w:type="spellStart"/>
            <w:r w:rsidRPr="00004F57">
              <w:rPr>
                <w:color w:val="auto"/>
                <w:lang w:val="uk-UA"/>
              </w:rPr>
              <w:t>under</w:t>
            </w:r>
            <w:proofErr w:type="spellEnd"/>
            <w:r w:rsidRPr="00004F57">
              <w:rPr>
                <w:color w:val="auto"/>
                <w:lang w:val="uk-UA"/>
              </w:rPr>
              <w:t xml:space="preserve"> </w:t>
            </w:r>
            <w:proofErr w:type="spellStart"/>
            <w:r w:rsidRPr="00004F57">
              <w:rPr>
                <w:color w:val="auto"/>
                <w:lang w:val="uk-UA"/>
              </w:rPr>
              <w:t>one</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should</w:t>
            </w:r>
            <w:proofErr w:type="spellEnd"/>
            <w:r w:rsidRPr="00004F57">
              <w:rPr>
                <w:color w:val="auto"/>
                <w:lang w:val="uk-UA"/>
              </w:rPr>
              <w:t xml:space="preserve"> </w:t>
            </w:r>
            <w:proofErr w:type="spellStart"/>
            <w:r w:rsidRPr="00004F57">
              <w:rPr>
                <w:color w:val="auto"/>
                <w:lang w:val="uk-UA"/>
              </w:rPr>
              <w:t>equal</w:t>
            </w:r>
            <w:proofErr w:type="spellEnd"/>
            <w:r w:rsidRPr="00004F57">
              <w:rPr>
                <w:color w:val="auto"/>
                <w:lang w:val="uk-UA"/>
              </w:rPr>
              <w:t xml:space="preserve"> 5,000,000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untaxed</w:t>
            </w:r>
            <w:proofErr w:type="spellEnd"/>
            <w:r w:rsidRPr="00004F57">
              <w:rPr>
                <w:color w:val="auto"/>
                <w:lang w:val="uk-UA"/>
              </w:rPr>
              <w:t xml:space="preserve"> </w:t>
            </w:r>
            <w:proofErr w:type="spellStart"/>
            <w:r w:rsidRPr="00004F57">
              <w:rPr>
                <w:color w:val="auto"/>
                <w:lang w:val="uk-UA"/>
              </w:rPr>
              <w:t>minimums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individual</w:t>
            </w:r>
            <w:proofErr w:type="spellEnd"/>
            <w:r w:rsidRPr="00004F57">
              <w:rPr>
                <w:color w:val="auto"/>
                <w:lang w:val="uk-UA"/>
              </w:rPr>
              <w:t xml:space="preserve"> </w:t>
            </w:r>
            <w:proofErr w:type="spellStart"/>
            <w:r w:rsidRPr="00004F57">
              <w:rPr>
                <w:color w:val="auto"/>
                <w:lang w:val="uk-UA"/>
              </w:rPr>
              <w:t>income</w:t>
            </w:r>
            <w:proofErr w:type="spellEnd"/>
            <w:r w:rsidRPr="00004F57">
              <w:rPr>
                <w:color w:val="auto"/>
                <w:lang w:val="uk-UA"/>
              </w:rPr>
              <w:t>.</w:t>
            </w:r>
          </w:p>
          <w:p w:rsidR="00B977F5" w:rsidRDefault="00B977F5" w:rsidP="00B977F5">
            <w:pPr>
              <w:pStyle w:val="Bullet"/>
              <w:numPr>
                <w:ilvl w:val="0"/>
                <w:numId w:val="0"/>
              </w:numPr>
              <w:spacing w:after="0"/>
              <w:ind w:left="567"/>
              <w:jc w:val="both"/>
              <w:rPr>
                <w:color w:val="auto"/>
                <w:lang w:val="en-US"/>
              </w:rPr>
            </w:pPr>
          </w:p>
          <w:p w:rsidR="00B977F5" w:rsidRDefault="00B977F5" w:rsidP="00B977F5">
            <w:pPr>
              <w:pStyle w:val="Bullet"/>
              <w:numPr>
                <w:ilvl w:val="0"/>
                <w:numId w:val="0"/>
              </w:numPr>
              <w:spacing w:after="0"/>
              <w:ind w:left="567"/>
              <w:jc w:val="both"/>
              <w:rPr>
                <w:color w:val="auto"/>
                <w:lang w:val="en-US"/>
              </w:rPr>
            </w:pPr>
          </w:p>
          <w:p w:rsidR="00BF5AFD" w:rsidRPr="00B977F5" w:rsidRDefault="00BF5AFD" w:rsidP="00B977F5">
            <w:pPr>
              <w:pStyle w:val="Bullet"/>
              <w:numPr>
                <w:ilvl w:val="0"/>
                <w:numId w:val="0"/>
              </w:numPr>
              <w:spacing w:after="0"/>
              <w:ind w:left="567"/>
              <w:jc w:val="both"/>
              <w:rPr>
                <w:color w:val="auto"/>
                <w:lang w:val="en-US"/>
              </w:rPr>
            </w:pPr>
          </w:p>
          <w:p w:rsidR="00004F57" w:rsidRPr="00004F57" w:rsidRDefault="00004F57" w:rsidP="00B977F5">
            <w:pPr>
              <w:pStyle w:val="Bullet"/>
              <w:numPr>
                <w:ilvl w:val="0"/>
                <w:numId w:val="0"/>
              </w:numPr>
              <w:jc w:val="both"/>
              <w:rPr>
                <w:color w:val="auto"/>
                <w:lang w:val="uk-UA"/>
              </w:rPr>
            </w:pP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addition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Cabinet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Ministers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adopted</w:t>
            </w:r>
            <w:proofErr w:type="spellEnd"/>
            <w:r w:rsidRPr="00004F57">
              <w:rPr>
                <w:color w:val="auto"/>
                <w:lang w:val="uk-UA"/>
              </w:rPr>
              <w:t xml:space="preserve"> </w:t>
            </w:r>
            <w:proofErr w:type="spellStart"/>
            <w:r w:rsidRPr="00004F57">
              <w:rPr>
                <w:color w:val="auto"/>
                <w:lang w:val="uk-UA"/>
              </w:rPr>
              <w:t>Resolution</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980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Approval</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Procedure</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Rules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Property</w:t>
            </w:r>
            <w:proofErr w:type="spellEnd"/>
            <w:r w:rsidRPr="00004F57">
              <w:rPr>
                <w:color w:val="auto"/>
                <w:lang w:val="uk-UA"/>
              </w:rPr>
              <w:t xml:space="preserve"> </w:t>
            </w:r>
            <w:proofErr w:type="spellStart"/>
            <w:r w:rsidRPr="00004F57">
              <w:rPr>
                <w:color w:val="auto"/>
                <w:lang w:val="uk-UA"/>
              </w:rPr>
              <w:t>Risks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Subsoil</w:t>
            </w:r>
            <w:proofErr w:type="spellEnd"/>
            <w:r w:rsidRPr="00004F57">
              <w:rPr>
                <w:color w:val="auto"/>
                <w:lang w:val="uk-UA"/>
              </w:rPr>
              <w:t xml:space="preserve"> </w:t>
            </w:r>
            <w:proofErr w:type="spellStart"/>
            <w:r w:rsidRPr="00004F57">
              <w:rPr>
                <w:color w:val="auto"/>
                <w:lang w:val="uk-UA"/>
              </w:rPr>
              <w:t>User</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Research</w:t>
            </w:r>
            <w:proofErr w:type="spellEnd"/>
            <w:r w:rsidRPr="00004F57">
              <w:rPr>
                <w:color w:val="auto"/>
                <w:lang w:val="uk-UA"/>
              </w:rPr>
              <w:t xml:space="preserve"> &amp;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Extraction</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Use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Methane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Coal</w:t>
            </w:r>
            <w:proofErr w:type="spellEnd"/>
            <w:r w:rsidRPr="00004F57">
              <w:rPr>
                <w:color w:val="auto"/>
                <w:lang w:val="uk-UA"/>
              </w:rPr>
              <w:t xml:space="preserve"> </w:t>
            </w:r>
            <w:proofErr w:type="spellStart"/>
            <w:r w:rsidRPr="00004F57">
              <w:rPr>
                <w:color w:val="auto"/>
                <w:lang w:val="uk-UA"/>
              </w:rPr>
              <w:t>Deposits</w:t>
            </w:r>
            <w:proofErr w:type="spellEnd"/>
            <w:r w:rsidRPr="00004F57">
              <w:rPr>
                <w:color w:val="auto"/>
                <w:lang w:val="uk-UA"/>
              </w:rPr>
              <w:t xml:space="preserve">” </w:t>
            </w:r>
            <w:proofErr w:type="spellStart"/>
            <w:r w:rsidRPr="00004F57">
              <w:rPr>
                <w:color w:val="auto"/>
                <w:lang w:val="uk-UA"/>
              </w:rPr>
              <w:t>dated</w:t>
            </w:r>
            <w:proofErr w:type="spellEnd"/>
            <w:r w:rsidRPr="00004F57">
              <w:rPr>
                <w:color w:val="auto"/>
                <w:lang w:val="uk-UA"/>
              </w:rPr>
              <w:t xml:space="preserve"> </w:t>
            </w:r>
            <w:proofErr w:type="spellStart"/>
            <w:r w:rsidRPr="00004F57">
              <w:rPr>
                <w:color w:val="auto"/>
                <w:lang w:val="uk-UA"/>
              </w:rPr>
              <w:t>November</w:t>
            </w:r>
            <w:proofErr w:type="spellEnd"/>
            <w:r w:rsidRPr="00004F57">
              <w:rPr>
                <w:color w:val="auto"/>
                <w:lang w:val="uk-UA"/>
              </w:rPr>
              <w:t xml:space="preserve"> 13, 2013 (“</w:t>
            </w:r>
            <w:proofErr w:type="spellStart"/>
            <w:r w:rsidRPr="00004F57">
              <w:rPr>
                <w:b/>
                <w:color w:val="auto"/>
                <w:lang w:val="uk-UA"/>
              </w:rPr>
              <w:t>Resolution</w:t>
            </w:r>
            <w:proofErr w:type="spellEnd"/>
            <w:r w:rsidRPr="00004F57">
              <w:rPr>
                <w:b/>
                <w:color w:val="auto"/>
                <w:lang w:val="uk-UA"/>
              </w:rPr>
              <w:t xml:space="preserve"> </w:t>
            </w:r>
            <w:proofErr w:type="spellStart"/>
            <w:r w:rsidRPr="00004F57">
              <w:rPr>
                <w:b/>
                <w:color w:val="auto"/>
                <w:lang w:val="uk-UA"/>
              </w:rPr>
              <w:t>No</w:t>
            </w:r>
            <w:proofErr w:type="spellEnd"/>
            <w:r w:rsidRPr="00004F57">
              <w:rPr>
                <w:b/>
                <w:color w:val="auto"/>
                <w:lang w:val="uk-UA"/>
              </w:rPr>
              <w:t>. 980</w:t>
            </w:r>
            <w:r w:rsidRPr="00004F57">
              <w:rPr>
                <w:color w:val="auto"/>
                <w:lang w:val="uk-UA"/>
              </w:rPr>
              <w:t>”).</w:t>
            </w:r>
            <w:r w:rsidRPr="00004F57" w:rsidDel="00AD19CA">
              <w:rPr>
                <w:color w:val="auto"/>
                <w:lang w:val="uk-UA"/>
              </w:rPr>
              <w:t xml:space="preserve"> </w:t>
            </w:r>
          </w:p>
          <w:p w:rsidR="00B977F5" w:rsidRDefault="00B977F5" w:rsidP="00B977F5">
            <w:pPr>
              <w:pStyle w:val="Bullet"/>
              <w:numPr>
                <w:ilvl w:val="0"/>
                <w:numId w:val="0"/>
              </w:numPr>
              <w:ind w:left="360" w:hanging="360"/>
              <w:jc w:val="both"/>
              <w:rPr>
                <w:color w:val="auto"/>
                <w:lang w:val="en-US"/>
              </w:rPr>
            </w:pPr>
          </w:p>
          <w:p w:rsidR="00004F57" w:rsidRDefault="00004F57" w:rsidP="00B977F5">
            <w:pPr>
              <w:pStyle w:val="Bullet"/>
              <w:numPr>
                <w:ilvl w:val="0"/>
                <w:numId w:val="0"/>
              </w:numPr>
              <w:spacing w:after="0"/>
              <w:ind w:left="357" w:hanging="357"/>
              <w:jc w:val="both"/>
              <w:rPr>
                <w:color w:val="auto"/>
                <w:lang w:val="en-US"/>
              </w:rPr>
            </w:pPr>
            <w:bookmarkStart w:id="0" w:name="_GoBack"/>
            <w:bookmarkEnd w:id="0"/>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particular</w:t>
            </w:r>
            <w:proofErr w:type="spellEnd"/>
            <w:r w:rsidRPr="00004F57">
              <w:rPr>
                <w:color w:val="auto"/>
                <w:lang w:val="uk-UA"/>
              </w:rPr>
              <w:t xml:space="preserve">, </w:t>
            </w:r>
            <w:proofErr w:type="spellStart"/>
            <w:r w:rsidRPr="00004F57">
              <w:rPr>
                <w:color w:val="auto"/>
                <w:lang w:val="uk-UA"/>
              </w:rPr>
              <w:t>Resolution</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980 </w:t>
            </w:r>
            <w:proofErr w:type="spellStart"/>
            <w:r w:rsidRPr="00004F57">
              <w:rPr>
                <w:color w:val="auto"/>
                <w:lang w:val="uk-UA"/>
              </w:rPr>
              <w:t>prescribes</w:t>
            </w:r>
            <w:proofErr w:type="spellEnd"/>
            <w:r w:rsidRPr="00004F57">
              <w:rPr>
                <w:color w:val="auto"/>
                <w:lang w:val="uk-UA"/>
              </w:rPr>
              <w:t xml:space="preserve"> </w:t>
            </w:r>
            <w:proofErr w:type="spellStart"/>
            <w:r w:rsidRPr="00004F57">
              <w:rPr>
                <w:color w:val="auto"/>
                <w:lang w:val="uk-UA"/>
              </w:rPr>
              <w:t>that</w:t>
            </w:r>
            <w:proofErr w:type="spellEnd"/>
            <w:r w:rsidRPr="00004F57">
              <w:rPr>
                <w:color w:val="auto"/>
                <w:lang w:val="uk-UA"/>
              </w:rPr>
              <w:t>:</w:t>
            </w:r>
          </w:p>
          <w:p w:rsidR="00B977F5" w:rsidRPr="00B977F5" w:rsidRDefault="00B977F5" w:rsidP="00B977F5">
            <w:pPr>
              <w:pStyle w:val="Bullet"/>
              <w:numPr>
                <w:ilvl w:val="0"/>
                <w:numId w:val="0"/>
              </w:numPr>
              <w:spacing w:after="0"/>
              <w:ind w:left="357" w:hanging="357"/>
              <w:jc w:val="both"/>
              <w:rPr>
                <w:color w:val="auto"/>
                <w:lang w:val="en-US"/>
              </w:rPr>
            </w:pPr>
          </w:p>
          <w:p w:rsidR="00004F57" w:rsidRPr="00B977F5" w:rsidRDefault="00004F57" w:rsidP="00B977F5">
            <w:pPr>
              <w:pStyle w:val="Bullet"/>
              <w:numPr>
                <w:ilvl w:val="0"/>
                <w:numId w:val="19"/>
              </w:numPr>
              <w:spacing w:after="0"/>
              <w:ind w:left="284"/>
              <w:jc w:val="both"/>
              <w:rPr>
                <w:color w:val="auto"/>
                <w:lang w:val="uk-UA"/>
              </w:rPr>
            </w:pP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sum</w:t>
            </w:r>
            <w:proofErr w:type="spellEnd"/>
            <w:r w:rsidRPr="00004F57">
              <w:rPr>
                <w:color w:val="auto"/>
                <w:lang w:val="uk-UA"/>
              </w:rPr>
              <w:t xml:space="preserve"> </w:t>
            </w:r>
            <w:proofErr w:type="spellStart"/>
            <w:r w:rsidRPr="00004F57">
              <w:rPr>
                <w:color w:val="auto"/>
                <w:lang w:val="uk-UA"/>
              </w:rPr>
              <w:t>insured</w:t>
            </w:r>
            <w:proofErr w:type="spellEnd"/>
            <w:r w:rsidRPr="00004F57">
              <w:rPr>
                <w:color w:val="auto"/>
                <w:lang w:val="uk-UA"/>
              </w:rPr>
              <w:t xml:space="preserve"> </w:t>
            </w:r>
            <w:proofErr w:type="spellStart"/>
            <w:r w:rsidRPr="00004F57">
              <w:rPr>
                <w:color w:val="auto"/>
                <w:lang w:val="uk-UA"/>
              </w:rPr>
              <w:t>under</w:t>
            </w:r>
            <w:proofErr w:type="spellEnd"/>
            <w:r w:rsidRPr="00004F57">
              <w:rPr>
                <w:color w:val="auto"/>
                <w:lang w:val="uk-UA"/>
              </w:rPr>
              <w:t xml:space="preserve"> </w:t>
            </w:r>
            <w:proofErr w:type="spellStart"/>
            <w:r w:rsidRPr="00004F57">
              <w:rPr>
                <w:color w:val="auto"/>
                <w:lang w:val="uk-UA"/>
              </w:rPr>
              <w:t>one</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should</w:t>
            </w:r>
            <w:proofErr w:type="spellEnd"/>
            <w:r w:rsidRPr="00004F57">
              <w:rPr>
                <w:color w:val="auto"/>
                <w:lang w:val="uk-UA"/>
              </w:rPr>
              <w:t xml:space="preserve"> equal10 </w:t>
            </w:r>
            <w:proofErr w:type="spellStart"/>
            <w:r w:rsidRPr="00004F57">
              <w:rPr>
                <w:color w:val="auto"/>
                <w:lang w:val="uk-UA"/>
              </w:rPr>
              <w:t>million</w:t>
            </w:r>
            <w:proofErr w:type="spellEnd"/>
            <w:r w:rsidRPr="00004F57">
              <w:rPr>
                <w:color w:val="auto"/>
                <w:lang w:val="uk-UA"/>
              </w:rPr>
              <w:t xml:space="preserve"> </w:t>
            </w:r>
            <w:proofErr w:type="spellStart"/>
            <w:r w:rsidRPr="00004F57">
              <w:rPr>
                <w:color w:val="auto"/>
                <w:lang w:val="uk-UA"/>
              </w:rPr>
              <w:t>untaxed</w:t>
            </w:r>
            <w:proofErr w:type="spellEnd"/>
            <w:r w:rsidRPr="00004F57">
              <w:rPr>
                <w:color w:val="auto"/>
                <w:lang w:val="uk-UA"/>
              </w:rPr>
              <w:t xml:space="preserve"> </w:t>
            </w:r>
            <w:proofErr w:type="spellStart"/>
            <w:r w:rsidRPr="00004F57">
              <w:rPr>
                <w:color w:val="auto"/>
                <w:lang w:val="uk-UA"/>
              </w:rPr>
              <w:t>minimums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individual</w:t>
            </w:r>
            <w:proofErr w:type="spellEnd"/>
            <w:r w:rsidRPr="00004F57">
              <w:rPr>
                <w:color w:val="auto"/>
                <w:lang w:val="uk-UA"/>
              </w:rPr>
              <w:t xml:space="preserve"> </w:t>
            </w:r>
            <w:proofErr w:type="spellStart"/>
            <w:r w:rsidRPr="00004F57">
              <w:rPr>
                <w:color w:val="auto"/>
                <w:lang w:val="uk-UA"/>
              </w:rPr>
              <w:t>income</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sum</w:t>
            </w:r>
            <w:proofErr w:type="spellEnd"/>
            <w:r w:rsidRPr="00004F57">
              <w:rPr>
                <w:color w:val="auto"/>
                <w:lang w:val="uk-UA"/>
              </w:rPr>
              <w:t xml:space="preserve"> </w:t>
            </w:r>
            <w:proofErr w:type="spellStart"/>
            <w:r w:rsidRPr="00004F57">
              <w:rPr>
                <w:color w:val="auto"/>
                <w:lang w:val="uk-UA"/>
              </w:rPr>
              <w:t>insured</w:t>
            </w:r>
            <w:proofErr w:type="spellEnd"/>
            <w:r w:rsidRPr="00004F57">
              <w:rPr>
                <w:color w:val="auto"/>
                <w:lang w:val="uk-UA"/>
              </w:rPr>
              <w:t xml:space="preserve"> </w:t>
            </w:r>
            <w:proofErr w:type="spellStart"/>
            <w:r w:rsidRPr="00004F57">
              <w:rPr>
                <w:color w:val="auto"/>
                <w:lang w:val="uk-UA"/>
              </w:rPr>
              <w:t>under</w:t>
            </w:r>
            <w:proofErr w:type="spellEnd"/>
            <w:r w:rsidRPr="00004F57">
              <w:rPr>
                <w:color w:val="auto"/>
                <w:lang w:val="uk-UA"/>
              </w:rPr>
              <w:t xml:space="preserve"> </w:t>
            </w:r>
            <w:proofErr w:type="spellStart"/>
            <w:r w:rsidRPr="00004F57">
              <w:rPr>
                <w:color w:val="auto"/>
                <w:lang w:val="uk-UA"/>
              </w:rPr>
              <w:t>one</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enterprises</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a </w:t>
            </w:r>
            <w:proofErr w:type="spellStart"/>
            <w:r w:rsidRPr="00004F57">
              <w:rPr>
                <w:color w:val="auto"/>
                <w:lang w:val="uk-UA"/>
              </w:rPr>
              <w:t>more</w:t>
            </w:r>
            <w:proofErr w:type="spellEnd"/>
            <w:r w:rsidRPr="00004F57">
              <w:rPr>
                <w:color w:val="auto"/>
                <w:lang w:val="uk-UA"/>
              </w:rPr>
              <w:t xml:space="preserve"> </w:t>
            </w:r>
            <w:proofErr w:type="spellStart"/>
            <w:r w:rsidRPr="00004F57">
              <w:rPr>
                <w:color w:val="auto"/>
                <w:lang w:val="uk-UA"/>
              </w:rPr>
              <w:t>than</w:t>
            </w:r>
            <w:proofErr w:type="spellEnd"/>
            <w:r w:rsidRPr="00004F57">
              <w:rPr>
                <w:color w:val="auto"/>
                <w:lang w:val="uk-UA"/>
              </w:rPr>
              <w:t xml:space="preserve"> 50 </w:t>
            </w:r>
            <w:proofErr w:type="spellStart"/>
            <w:r w:rsidRPr="00004F57">
              <w:rPr>
                <w:color w:val="auto"/>
                <w:lang w:val="uk-UA"/>
              </w:rPr>
              <w:t>percent</w:t>
            </w:r>
            <w:proofErr w:type="spellEnd"/>
            <w:r w:rsidRPr="00004F57">
              <w:rPr>
                <w:color w:val="auto"/>
                <w:lang w:val="uk-UA"/>
              </w:rPr>
              <w:t xml:space="preserve"> State-</w:t>
            </w:r>
            <w:proofErr w:type="spellStart"/>
            <w:r w:rsidRPr="00004F57">
              <w:rPr>
                <w:color w:val="auto"/>
                <w:lang w:val="uk-UA"/>
              </w:rPr>
              <w:t>owned</w:t>
            </w:r>
            <w:proofErr w:type="spellEnd"/>
            <w:r w:rsidRPr="00004F57">
              <w:rPr>
                <w:color w:val="auto"/>
                <w:lang w:val="uk-UA"/>
              </w:rPr>
              <w:t xml:space="preserve"> </w:t>
            </w:r>
            <w:proofErr w:type="spellStart"/>
            <w:r w:rsidRPr="00004F57">
              <w:rPr>
                <w:color w:val="auto"/>
                <w:lang w:val="uk-UA"/>
              </w:rPr>
              <w:t>stake</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their</w:t>
            </w:r>
            <w:proofErr w:type="spellEnd"/>
            <w:r w:rsidRPr="00004F57">
              <w:rPr>
                <w:color w:val="auto"/>
                <w:lang w:val="uk-UA"/>
              </w:rPr>
              <w:t xml:space="preserve"> </w:t>
            </w:r>
            <w:proofErr w:type="spellStart"/>
            <w:r w:rsidRPr="00004F57">
              <w:rPr>
                <w:color w:val="auto"/>
                <w:lang w:val="uk-UA"/>
              </w:rPr>
              <w:t>equity</w:t>
            </w:r>
            <w:proofErr w:type="spellEnd"/>
            <w:r w:rsidRPr="00004F57">
              <w:rPr>
                <w:color w:val="auto"/>
                <w:lang w:val="uk-UA"/>
              </w:rPr>
              <w:t xml:space="preserve"> </w:t>
            </w:r>
            <w:proofErr w:type="spellStart"/>
            <w:r w:rsidRPr="00004F57">
              <w:rPr>
                <w:color w:val="auto"/>
                <w:lang w:val="uk-UA"/>
              </w:rPr>
              <w:t>capital</w:t>
            </w:r>
            <w:proofErr w:type="spellEnd"/>
            <w:r w:rsidRPr="00004F57">
              <w:rPr>
                <w:color w:val="auto"/>
                <w:lang w:val="uk-UA"/>
              </w:rPr>
              <w:t xml:space="preserve"> </w:t>
            </w:r>
            <w:proofErr w:type="spellStart"/>
            <w:r w:rsidRPr="00004F57">
              <w:rPr>
                <w:color w:val="auto"/>
                <w:lang w:val="uk-UA"/>
              </w:rPr>
              <w:t>should</w:t>
            </w:r>
            <w:proofErr w:type="spellEnd"/>
            <w:r w:rsidRPr="00004F57">
              <w:rPr>
                <w:color w:val="auto"/>
                <w:lang w:val="uk-UA"/>
              </w:rPr>
              <w:t xml:space="preserve"> </w:t>
            </w:r>
            <w:proofErr w:type="spellStart"/>
            <w:r w:rsidRPr="00004F57">
              <w:rPr>
                <w:color w:val="auto"/>
                <w:lang w:val="uk-UA"/>
              </w:rPr>
              <w:t>equal</w:t>
            </w:r>
            <w:proofErr w:type="spellEnd"/>
            <w:r w:rsidRPr="00004F57">
              <w:rPr>
                <w:color w:val="auto"/>
                <w:lang w:val="uk-UA"/>
              </w:rPr>
              <w:t xml:space="preserve"> 5 </w:t>
            </w:r>
            <w:proofErr w:type="spellStart"/>
            <w:r w:rsidRPr="00004F57">
              <w:rPr>
                <w:color w:val="auto"/>
                <w:lang w:val="uk-UA"/>
              </w:rPr>
              <w:t>million</w:t>
            </w:r>
            <w:proofErr w:type="spellEnd"/>
            <w:r w:rsidRPr="00004F57">
              <w:rPr>
                <w:color w:val="auto"/>
                <w:lang w:val="uk-UA"/>
              </w:rPr>
              <w:t xml:space="preserve"> </w:t>
            </w:r>
            <w:proofErr w:type="spellStart"/>
            <w:r w:rsidRPr="00004F57">
              <w:rPr>
                <w:color w:val="auto"/>
                <w:lang w:val="uk-UA"/>
              </w:rPr>
              <w:t>untaxed</w:t>
            </w:r>
            <w:proofErr w:type="spellEnd"/>
            <w:r w:rsidRPr="00004F57">
              <w:rPr>
                <w:color w:val="auto"/>
                <w:lang w:val="uk-UA"/>
              </w:rPr>
              <w:t xml:space="preserve"> </w:t>
            </w:r>
            <w:proofErr w:type="spellStart"/>
            <w:r w:rsidRPr="00004F57">
              <w:rPr>
                <w:color w:val="auto"/>
                <w:lang w:val="uk-UA"/>
              </w:rPr>
              <w:t>minimums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individual</w:t>
            </w:r>
            <w:proofErr w:type="spellEnd"/>
            <w:r w:rsidRPr="00004F57">
              <w:rPr>
                <w:color w:val="auto"/>
                <w:lang w:val="uk-UA"/>
              </w:rPr>
              <w:t xml:space="preserve"> </w:t>
            </w:r>
            <w:proofErr w:type="spellStart"/>
            <w:r w:rsidRPr="00004F57">
              <w:rPr>
                <w:color w:val="auto"/>
                <w:lang w:val="uk-UA"/>
              </w:rPr>
              <w:t>income</w:t>
            </w:r>
            <w:proofErr w:type="spellEnd"/>
            <w:r w:rsidRPr="00004F57">
              <w:rPr>
                <w:color w:val="auto"/>
                <w:lang w:val="uk-UA"/>
              </w:rPr>
              <w:t>.</w:t>
            </w:r>
          </w:p>
          <w:p w:rsidR="00B977F5" w:rsidRDefault="00B977F5" w:rsidP="00B977F5">
            <w:pPr>
              <w:pStyle w:val="Bullet"/>
              <w:numPr>
                <w:ilvl w:val="0"/>
                <w:numId w:val="0"/>
              </w:numPr>
              <w:spacing w:after="0"/>
              <w:ind w:left="284"/>
              <w:jc w:val="both"/>
              <w:rPr>
                <w:color w:val="auto"/>
                <w:lang w:val="en-US"/>
              </w:rPr>
            </w:pPr>
          </w:p>
          <w:p w:rsidR="00B977F5" w:rsidRDefault="00B977F5" w:rsidP="00B977F5">
            <w:pPr>
              <w:pStyle w:val="Bullet"/>
              <w:numPr>
                <w:ilvl w:val="0"/>
                <w:numId w:val="0"/>
              </w:numPr>
              <w:spacing w:after="0"/>
              <w:ind w:left="284"/>
              <w:jc w:val="both"/>
              <w:rPr>
                <w:color w:val="auto"/>
                <w:lang w:val="en-US"/>
              </w:rPr>
            </w:pPr>
          </w:p>
          <w:p w:rsidR="00B977F5" w:rsidRDefault="00B977F5" w:rsidP="00B977F5">
            <w:pPr>
              <w:pStyle w:val="Bullet"/>
              <w:numPr>
                <w:ilvl w:val="0"/>
                <w:numId w:val="0"/>
              </w:numPr>
              <w:spacing w:after="0"/>
              <w:ind w:left="284"/>
              <w:jc w:val="both"/>
              <w:rPr>
                <w:color w:val="auto"/>
                <w:lang w:val="en-US"/>
              </w:rPr>
            </w:pPr>
          </w:p>
          <w:p w:rsidR="00004F57" w:rsidRPr="00B977F5" w:rsidRDefault="00004F57" w:rsidP="00B977F5">
            <w:pPr>
              <w:pStyle w:val="Bullet"/>
              <w:numPr>
                <w:ilvl w:val="0"/>
                <w:numId w:val="19"/>
              </w:numPr>
              <w:spacing w:after="0"/>
              <w:ind w:left="284"/>
              <w:jc w:val="both"/>
              <w:rPr>
                <w:color w:val="auto"/>
                <w:lang w:val="uk-UA"/>
              </w:rPr>
            </w:pPr>
            <w:r w:rsidRPr="00004F57">
              <w:rPr>
                <w:color w:val="auto"/>
                <w:lang w:val="uk-UA"/>
              </w:rPr>
              <w:t xml:space="preserve">A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should</w:t>
            </w:r>
            <w:proofErr w:type="spellEnd"/>
            <w:r w:rsidRPr="00004F57">
              <w:rPr>
                <w:color w:val="auto"/>
                <w:lang w:val="uk-UA"/>
              </w:rPr>
              <w:t xml:space="preserve"> </w:t>
            </w:r>
            <w:proofErr w:type="spellStart"/>
            <w:r w:rsidRPr="00004F57">
              <w:rPr>
                <w:color w:val="auto"/>
                <w:lang w:val="uk-UA"/>
              </w:rPr>
              <w:t>be</w:t>
            </w:r>
            <w:proofErr w:type="spellEnd"/>
            <w:r w:rsidRPr="00004F57">
              <w:rPr>
                <w:color w:val="auto"/>
                <w:lang w:val="uk-UA"/>
              </w:rPr>
              <w:t xml:space="preserve"> </w:t>
            </w:r>
            <w:proofErr w:type="spellStart"/>
            <w:r w:rsidRPr="00004F57">
              <w:rPr>
                <w:color w:val="auto"/>
                <w:lang w:val="uk-UA"/>
              </w:rPr>
              <w:t>concluded</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writing</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period</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one</w:t>
            </w:r>
            <w:proofErr w:type="spellEnd"/>
            <w:r w:rsidRPr="00004F57">
              <w:rPr>
                <w:color w:val="auto"/>
                <w:lang w:val="uk-UA"/>
              </w:rPr>
              <w:t xml:space="preserve"> </w:t>
            </w:r>
            <w:proofErr w:type="spellStart"/>
            <w:r w:rsidRPr="00004F57">
              <w:rPr>
                <w:color w:val="auto"/>
                <w:lang w:val="uk-UA"/>
              </w:rPr>
              <w:t>year</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accordance</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Model</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as</w:t>
            </w:r>
            <w:proofErr w:type="spellEnd"/>
            <w:r w:rsidRPr="00004F57">
              <w:rPr>
                <w:color w:val="auto"/>
                <w:lang w:val="uk-UA"/>
              </w:rPr>
              <w:t xml:space="preserve"> </w:t>
            </w:r>
            <w:proofErr w:type="spellStart"/>
            <w:r w:rsidRPr="00004F57">
              <w:rPr>
                <w:color w:val="auto"/>
                <w:lang w:val="uk-UA"/>
              </w:rPr>
              <w:t>indicated</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amendment</w:t>
            </w:r>
            <w:proofErr w:type="spellEnd"/>
            <w:r w:rsidRPr="00004F57">
              <w:rPr>
                <w:color w:val="auto"/>
                <w:lang w:val="uk-UA"/>
              </w:rPr>
              <w:t xml:space="preserve"> 2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resolution</w:t>
            </w:r>
            <w:proofErr w:type="spellEnd"/>
            <w:r w:rsidRPr="00004F57">
              <w:rPr>
                <w:color w:val="auto"/>
                <w:lang w:val="uk-UA"/>
              </w:rPr>
              <w:t xml:space="preserve"> No.980.</w:t>
            </w:r>
          </w:p>
          <w:p w:rsidR="00B977F5" w:rsidRPr="00004F57" w:rsidRDefault="00B977F5" w:rsidP="00B977F5">
            <w:pPr>
              <w:pStyle w:val="Bullet"/>
              <w:numPr>
                <w:ilvl w:val="0"/>
                <w:numId w:val="0"/>
              </w:numPr>
              <w:spacing w:after="0"/>
              <w:ind w:left="284"/>
              <w:jc w:val="both"/>
              <w:rPr>
                <w:color w:val="auto"/>
                <w:lang w:val="uk-UA"/>
              </w:rPr>
            </w:pPr>
          </w:p>
          <w:p w:rsidR="00004F57" w:rsidRPr="00004F57" w:rsidRDefault="00004F57" w:rsidP="00B977F5">
            <w:pPr>
              <w:pStyle w:val="Bullet"/>
              <w:numPr>
                <w:ilvl w:val="0"/>
                <w:numId w:val="19"/>
              </w:numPr>
              <w:ind w:left="284"/>
              <w:jc w:val="both"/>
              <w:rPr>
                <w:color w:val="auto"/>
                <w:lang w:val="uk-UA"/>
              </w:rPr>
            </w:pPr>
            <w:proofErr w:type="spellStart"/>
            <w:r w:rsidRPr="00004F57">
              <w:rPr>
                <w:color w:val="auto"/>
                <w:lang w:val="uk-UA"/>
              </w:rPr>
              <w:t>Moreover</w:t>
            </w:r>
            <w:proofErr w:type="spellEnd"/>
            <w:r w:rsidRPr="00004F57">
              <w:rPr>
                <w:color w:val="auto"/>
                <w:lang w:val="uk-UA"/>
              </w:rPr>
              <w:t xml:space="preserve">, </w:t>
            </w:r>
            <w:proofErr w:type="spellStart"/>
            <w:r w:rsidRPr="00004F57">
              <w:rPr>
                <w:color w:val="auto"/>
                <w:lang w:val="uk-UA"/>
              </w:rPr>
              <w:t>Resolution</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980 </w:t>
            </w:r>
            <w:proofErr w:type="spellStart"/>
            <w:r w:rsidRPr="00004F57">
              <w:rPr>
                <w:color w:val="auto"/>
                <w:lang w:val="uk-UA"/>
              </w:rPr>
              <w:t>approves</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methodology</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calculations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rates</w:t>
            </w:r>
            <w:proofErr w:type="spellEnd"/>
            <w:r w:rsidRPr="00004F57">
              <w:rPr>
                <w:color w:val="auto"/>
                <w:lang w:val="uk-UA"/>
              </w:rPr>
              <w:t xml:space="preserve"> </w:t>
            </w:r>
            <w:proofErr w:type="spellStart"/>
            <w:r w:rsidRPr="00004F57">
              <w:rPr>
                <w:color w:val="auto"/>
                <w:lang w:val="uk-UA"/>
              </w:rPr>
              <w:t>under</w:t>
            </w:r>
            <w:proofErr w:type="spellEnd"/>
            <w:r w:rsidRPr="00004F57">
              <w:rPr>
                <w:color w:val="auto"/>
                <w:lang w:val="uk-UA"/>
              </w:rPr>
              <w:t xml:space="preserve"> </w:t>
            </w:r>
            <w:proofErr w:type="spellStart"/>
            <w:r w:rsidRPr="00004F57">
              <w:rPr>
                <w:color w:val="auto"/>
                <w:lang w:val="uk-UA"/>
              </w:rPr>
              <w:t>agreements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mandatory</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property</w:t>
            </w:r>
            <w:proofErr w:type="spellEnd"/>
            <w:r w:rsidRPr="00004F57">
              <w:rPr>
                <w:color w:val="auto"/>
                <w:lang w:val="uk-UA"/>
              </w:rPr>
              <w:t xml:space="preserve"> </w:t>
            </w:r>
            <w:proofErr w:type="spellStart"/>
            <w:r w:rsidRPr="00004F57">
              <w:rPr>
                <w:color w:val="auto"/>
                <w:lang w:val="uk-UA"/>
              </w:rPr>
              <w:t>risks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subsoil</w:t>
            </w:r>
            <w:proofErr w:type="spellEnd"/>
            <w:r w:rsidRPr="00004F57">
              <w:rPr>
                <w:color w:val="auto"/>
                <w:lang w:val="uk-UA"/>
              </w:rPr>
              <w:t xml:space="preserve"> </w:t>
            </w:r>
            <w:proofErr w:type="spellStart"/>
            <w:r w:rsidRPr="00004F57">
              <w:rPr>
                <w:color w:val="auto"/>
                <w:lang w:val="uk-UA"/>
              </w:rPr>
              <w:t>user</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research</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extraction</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use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methane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coal</w:t>
            </w:r>
            <w:proofErr w:type="spellEnd"/>
            <w:r w:rsidRPr="00004F57">
              <w:rPr>
                <w:color w:val="auto"/>
                <w:lang w:val="uk-UA"/>
              </w:rPr>
              <w:t xml:space="preserve"> </w:t>
            </w:r>
            <w:proofErr w:type="spellStart"/>
            <w:r w:rsidRPr="00004F57">
              <w:rPr>
                <w:color w:val="auto"/>
                <w:lang w:val="uk-UA"/>
              </w:rPr>
              <w:lastRenderedPageBreak/>
              <w:t>deposits</w:t>
            </w:r>
            <w:proofErr w:type="spellEnd"/>
            <w:r w:rsidRPr="00004F57">
              <w:rPr>
                <w:color w:val="auto"/>
                <w:lang w:val="uk-UA"/>
              </w:rPr>
              <w:t xml:space="preserve">.  </w:t>
            </w:r>
          </w:p>
          <w:p w:rsidR="00004F57" w:rsidRPr="00B977F5" w:rsidRDefault="00004F57" w:rsidP="00B977F5">
            <w:pPr>
              <w:pStyle w:val="Bullet"/>
              <w:ind w:left="0"/>
              <w:jc w:val="both"/>
              <w:rPr>
                <w:color w:val="auto"/>
                <w:lang w:val="uk-UA"/>
              </w:rPr>
            </w:pPr>
            <w:proofErr w:type="spellStart"/>
            <w:r w:rsidRPr="00004F57">
              <w:rPr>
                <w:color w:val="auto"/>
                <w:lang w:val="uk-UA"/>
              </w:rPr>
              <w:t>It</w:t>
            </w:r>
            <w:proofErr w:type="spellEnd"/>
            <w:r w:rsidRPr="00004F57">
              <w:rPr>
                <w:color w:val="auto"/>
                <w:lang w:val="uk-UA"/>
              </w:rPr>
              <w:t xml:space="preserve"> </w:t>
            </w:r>
            <w:proofErr w:type="spellStart"/>
            <w:r w:rsidRPr="00004F57">
              <w:rPr>
                <w:color w:val="auto"/>
                <w:lang w:val="uk-UA"/>
              </w:rPr>
              <w:t>should</w:t>
            </w:r>
            <w:proofErr w:type="spellEnd"/>
            <w:r w:rsidRPr="00004F57">
              <w:rPr>
                <w:color w:val="auto"/>
                <w:lang w:val="uk-UA"/>
              </w:rPr>
              <w:t xml:space="preserve"> </w:t>
            </w:r>
            <w:proofErr w:type="spellStart"/>
            <w:r w:rsidRPr="00004F57">
              <w:rPr>
                <w:color w:val="auto"/>
                <w:lang w:val="uk-UA"/>
              </w:rPr>
              <w:t>be</w:t>
            </w:r>
            <w:proofErr w:type="spellEnd"/>
            <w:r w:rsidRPr="00004F57">
              <w:rPr>
                <w:color w:val="auto"/>
                <w:lang w:val="uk-UA"/>
              </w:rPr>
              <w:t xml:space="preserve"> </w:t>
            </w:r>
            <w:proofErr w:type="spellStart"/>
            <w:r w:rsidRPr="00004F57">
              <w:rPr>
                <w:color w:val="auto"/>
                <w:lang w:val="uk-UA"/>
              </w:rPr>
              <w:t>pointed</w:t>
            </w:r>
            <w:proofErr w:type="spellEnd"/>
            <w:r w:rsidRPr="00004F57">
              <w:rPr>
                <w:color w:val="auto"/>
                <w:lang w:val="uk-UA"/>
              </w:rPr>
              <w:t xml:space="preserve"> </w:t>
            </w:r>
            <w:proofErr w:type="spellStart"/>
            <w:r w:rsidRPr="00004F57">
              <w:rPr>
                <w:color w:val="auto"/>
                <w:lang w:val="uk-UA"/>
              </w:rPr>
              <w:t>out</w:t>
            </w:r>
            <w:proofErr w:type="spellEnd"/>
            <w:r w:rsidRPr="00004F57">
              <w:rPr>
                <w:color w:val="auto"/>
                <w:lang w:val="uk-UA"/>
              </w:rPr>
              <w:t xml:space="preserve"> </w:t>
            </w:r>
            <w:proofErr w:type="spellStart"/>
            <w:r w:rsidRPr="00004F57">
              <w:rPr>
                <w:color w:val="auto"/>
                <w:lang w:val="uk-UA"/>
              </w:rPr>
              <w:t>that</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international</w:t>
            </w:r>
            <w:proofErr w:type="spellEnd"/>
            <w:r w:rsidRPr="00004F57">
              <w:rPr>
                <w:color w:val="auto"/>
                <w:lang w:val="uk-UA"/>
              </w:rPr>
              <w:t xml:space="preserve"> </w:t>
            </w:r>
            <w:proofErr w:type="spellStart"/>
            <w:r w:rsidRPr="00004F57">
              <w:rPr>
                <w:color w:val="auto"/>
                <w:lang w:val="uk-UA"/>
              </w:rPr>
              <w:t>practice</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said</w:t>
            </w:r>
            <w:proofErr w:type="spellEnd"/>
            <w:r w:rsidRPr="00004F57">
              <w:rPr>
                <w:color w:val="auto"/>
                <w:lang w:val="uk-UA"/>
              </w:rPr>
              <w:t xml:space="preserve"> </w:t>
            </w:r>
            <w:proofErr w:type="spellStart"/>
            <w:r w:rsidRPr="00004F57">
              <w:rPr>
                <w:color w:val="auto"/>
                <w:lang w:val="uk-UA"/>
              </w:rPr>
              <w:t>risks</w:t>
            </w:r>
            <w:proofErr w:type="spellEnd"/>
            <w:r w:rsidRPr="00004F57">
              <w:rPr>
                <w:color w:val="auto"/>
                <w:lang w:val="uk-UA"/>
              </w:rPr>
              <w:t xml:space="preserve"> </w:t>
            </w:r>
            <w:proofErr w:type="spellStart"/>
            <w:r w:rsidRPr="00004F57">
              <w:rPr>
                <w:color w:val="auto"/>
                <w:lang w:val="uk-UA"/>
              </w:rPr>
              <w:t>generally</w:t>
            </w:r>
            <w:proofErr w:type="spellEnd"/>
            <w:r w:rsidRPr="00004F57">
              <w:rPr>
                <w:color w:val="auto"/>
                <w:lang w:val="uk-UA"/>
              </w:rPr>
              <w:t xml:space="preserve"> </w:t>
            </w:r>
            <w:proofErr w:type="spellStart"/>
            <w:r w:rsidRPr="00004F57">
              <w:rPr>
                <w:color w:val="auto"/>
                <w:lang w:val="uk-UA"/>
              </w:rPr>
              <w:t>are</w:t>
            </w:r>
            <w:proofErr w:type="spellEnd"/>
            <w:r w:rsidRPr="00004F57">
              <w:rPr>
                <w:color w:val="auto"/>
                <w:lang w:val="uk-UA"/>
              </w:rPr>
              <w:t xml:space="preserve"> </w:t>
            </w:r>
            <w:proofErr w:type="spellStart"/>
            <w:r w:rsidRPr="00004F57">
              <w:rPr>
                <w:color w:val="auto"/>
                <w:lang w:val="uk-UA"/>
              </w:rPr>
              <w:t>covered</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w:t>
            </w:r>
            <w:proofErr w:type="spellStart"/>
            <w:r w:rsidRPr="00004F57">
              <w:rPr>
                <w:color w:val="auto"/>
                <w:lang w:val="uk-UA"/>
              </w:rPr>
              <w:t>package</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However</w:t>
            </w:r>
            <w:proofErr w:type="spellEnd"/>
            <w:r w:rsidRPr="00004F57">
              <w:rPr>
                <w:color w:val="auto"/>
                <w:lang w:val="uk-UA"/>
              </w:rPr>
              <w:t xml:space="preserve">, </w:t>
            </w:r>
            <w:proofErr w:type="spellStart"/>
            <w:r w:rsidRPr="00004F57">
              <w:rPr>
                <w:color w:val="auto"/>
                <w:lang w:val="uk-UA"/>
              </w:rPr>
              <w:t>Ukrainian</w:t>
            </w:r>
            <w:proofErr w:type="spellEnd"/>
            <w:r w:rsidRPr="00004F57">
              <w:rPr>
                <w:color w:val="auto"/>
                <w:lang w:val="uk-UA"/>
              </w:rPr>
              <w:t xml:space="preserve"> </w:t>
            </w:r>
            <w:proofErr w:type="spellStart"/>
            <w:r w:rsidRPr="00004F57">
              <w:rPr>
                <w:color w:val="auto"/>
                <w:lang w:val="uk-UA"/>
              </w:rPr>
              <w:t>legislators</w:t>
            </w:r>
            <w:proofErr w:type="spellEnd"/>
            <w:r w:rsidRPr="00004F57">
              <w:rPr>
                <w:color w:val="auto"/>
                <w:lang w:val="uk-UA"/>
              </w:rPr>
              <w:t xml:space="preserve"> </w:t>
            </w:r>
            <w:proofErr w:type="spellStart"/>
            <w:r w:rsidRPr="00004F57">
              <w:rPr>
                <w:color w:val="auto"/>
                <w:lang w:val="uk-UA"/>
              </w:rPr>
              <w:t>have</w:t>
            </w:r>
            <w:proofErr w:type="spellEnd"/>
            <w:r w:rsidRPr="00004F57">
              <w:rPr>
                <w:color w:val="auto"/>
                <w:lang w:val="uk-UA"/>
              </w:rPr>
              <w:t xml:space="preserve"> </w:t>
            </w:r>
            <w:proofErr w:type="spellStart"/>
            <w:r w:rsidRPr="00004F57">
              <w:rPr>
                <w:color w:val="auto"/>
                <w:lang w:val="uk-UA"/>
              </w:rPr>
              <w:t>provided</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separate</w:t>
            </w:r>
            <w:proofErr w:type="spellEnd"/>
            <w:r w:rsidRPr="00004F57">
              <w:rPr>
                <w:color w:val="auto"/>
                <w:lang w:val="uk-UA"/>
              </w:rPr>
              <w:t xml:space="preserve"> </w:t>
            </w:r>
            <w:proofErr w:type="spellStart"/>
            <w:r w:rsidRPr="00004F57">
              <w:rPr>
                <w:color w:val="auto"/>
                <w:lang w:val="uk-UA"/>
              </w:rPr>
              <w:t>insurance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property</w:t>
            </w:r>
            <w:proofErr w:type="spellEnd"/>
            <w:r w:rsidRPr="00004F57">
              <w:rPr>
                <w:color w:val="auto"/>
                <w:lang w:val="uk-UA"/>
              </w:rPr>
              <w:t xml:space="preserve"> </w:t>
            </w:r>
            <w:proofErr w:type="spellStart"/>
            <w:r w:rsidRPr="00004F57">
              <w:rPr>
                <w:color w:val="auto"/>
                <w:lang w:val="uk-UA"/>
              </w:rPr>
              <w:t>risks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subsoil</w:t>
            </w:r>
            <w:proofErr w:type="spellEnd"/>
            <w:r w:rsidRPr="00004F57">
              <w:rPr>
                <w:color w:val="auto"/>
                <w:lang w:val="uk-UA"/>
              </w:rPr>
              <w:t xml:space="preserve"> </w:t>
            </w:r>
            <w:proofErr w:type="spellStart"/>
            <w:r w:rsidRPr="00004F57">
              <w:rPr>
                <w:color w:val="auto"/>
                <w:lang w:val="uk-UA"/>
              </w:rPr>
              <w:t>user</w:t>
            </w:r>
            <w:proofErr w:type="spellEnd"/>
            <w:r w:rsidRPr="00004F57">
              <w:rPr>
                <w:color w:val="auto"/>
                <w:lang w:val="uk-UA"/>
              </w:rPr>
              <w:t xml:space="preserve"> </w:t>
            </w:r>
            <w:proofErr w:type="spellStart"/>
            <w:r w:rsidRPr="00004F57">
              <w:rPr>
                <w:color w:val="auto"/>
                <w:lang w:val="uk-UA"/>
              </w:rPr>
              <w:t>which</w:t>
            </w:r>
            <w:proofErr w:type="spellEnd"/>
            <w:r w:rsidRPr="00004F57">
              <w:rPr>
                <w:color w:val="auto"/>
                <w:lang w:val="uk-UA"/>
              </w:rPr>
              <w:t xml:space="preserve"> </w:t>
            </w:r>
            <w:proofErr w:type="spellStart"/>
            <w:r w:rsidRPr="00004F57">
              <w:rPr>
                <w:color w:val="auto"/>
                <w:lang w:val="uk-UA"/>
              </w:rPr>
              <w:t>is</w:t>
            </w:r>
            <w:proofErr w:type="spellEnd"/>
            <w:r w:rsidRPr="00004F57">
              <w:rPr>
                <w:color w:val="auto"/>
                <w:lang w:val="uk-UA"/>
              </w:rPr>
              <w:t xml:space="preserve"> </w:t>
            </w:r>
            <w:proofErr w:type="spellStart"/>
            <w:r w:rsidRPr="00004F57">
              <w:rPr>
                <w:color w:val="auto"/>
                <w:lang w:val="uk-UA"/>
              </w:rPr>
              <w:t>effective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territory</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
          <w:p w:rsidR="00B977F5" w:rsidRPr="00004F57" w:rsidRDefault="00B977F5" w:rsidP="00B977F5">
            <w:pPr>
              <w:pStyle w:val="Bullet"/>
              <w:ind w:left="0"/>
              <w:jc w:val="both"/>
              <w:rPr>
                <w:color w:val="auto"/>
                <w:lang w:val="uk-UA"/>
              </w:rPr>
            </w:pPr>
          </w:p>
          <w:p w:rsidR="00004F57" w:rsidRPr="00004F57" w:rsidRDefault="00004F57" w:rsidP="00B977F5">
            <w:pPr>
              <w:pStyle w:val="Bullet"/>
              <w:ind w:left="0"/>
              <w:jc w:val="both"/>
              <w:rPr>
                <w:color w:val="auto"/>
                <w:lang w:val="uk-UA"/>
              </w:rPr>
            </w:pPr>
            <w:proofErr w:type="spellStart"/>
            <w:r w:rsidRPr="00004F57">
              <w:rPr>
                <w:color w:val="auto"/>
                <w:lang w:val="uk-UA"/>
              </w:rPr>
              <w:t>As</w:t>
            </w:r>
            <w:proofErr w:type="spellEnd"/>
            <w:r w:rsidRPr="00004F57">
              <w:rPr>
                <w:color w:val="auto"/>
                <w:lang w:val="uk-UA"/>
              </w:rPr>
              <w:t xml:space="preserve"> </w:t>
            </w:r>
            <w:proofErr w:type="spellStart"/>
            <w:r w:rsidRPr="00004F57">
              <w:rPr>
                <w:color w:val="auto"/>
                <w:lang w:val="uk-UA"/>
              </w:rPr>
              <w:t>far</w:t>
            </w:r>
            <w:proofErr w:type="spellEnd"/>
            <w:r w:rsidRPr="00004F57">
              <w:rPr>
                <w:color w:val="auto"/>
                <w:lang w:val="uk-UA"/>
              </w:rPr>
              <w:t xml:space="preserve"> </w:t>
            </w:r>
            <w:proofErr w:type="spellStart"/>
            <w:r w:rsidRPr="00004F57">
              <w:rPr>
                <w:color w:val="auto"/>
                <w:lang w:val="uk-UA"/>
              </w:rPr>
              <w:t>as</w:t>
            </w:r>
            <w:proofErr w:type="spellEnd"/>
            <w:r w:rsidRPr="00004F57">
              <w:rPr>
                <w:color w:val="auto"/>
                <w:lang w:val="uk-UA"/>
              </w:rPr>
              <w:t xml:space="preserve"> </w:t>
            </w:r>
            <w:proofErr w:type="spellStart"/>
            <w:r w:rsidRPr="00004F57">
              <w:rPr>
                <w:color w:val="auto"/>
                <w:lang w:val="uk-UA"/>
              </w:rPr>
              <w:t>we</w:t>
            </w:r>
            <w:proofErr w:type="spellEnd"/>
            <w:r w:rsidRPr="00004F57">
              <w:rPr>
                <w:color w:val="auto"/>
                <w:lang w:val="uk-UA"/>
              </w:rPr>
              <w:t xml:space="preserve"> </w:t>
            </w:r>
            <w:proofErr w:type="spellStart"/>
            <w:r w:rsidRPr="00004F57">
              <w:rPr>
                <w:color w:val="auto"/>
                <w:lang w:val="uk-UA"/>
              </w:rPr>
              <w:t>know</w:t>
            </w:r>
            <w:proofErr w:type="spellEnd"/>
            <w:r w:rsidRPr="00004F57">
              <w:rPr>
                <w:color w:val="auto"/>
                <w:lang w:val="uk-UA"/>
              </w:rPr>
              <w:t xml:space="preserve">, </w:t>
            </w:r>
            <w:proofErr w:type="spellStart"/>
            <w:r w:rsidRPr="00004F57">
              <w:rPr>
                <w:color w:val="auto"/>
                <w:lang w:val="uk-UA"/>
              </w:rPr>
              <w:t>market</w:t>
            </w:r>
            <w:proofErr w:type="spellEnd"/>
            <w:r w:rsidRPr="00004F57">
              <w:rPr>
                <w:color w:val="auto"/>
                <w:lang w:val="uk-UA"/>
              </w:rPr>
              <w:t xml:space="preserve"> </w:t>
            </w:r>
            <w:proofErr w:type="spellStart"/>
            <w:r w:rsidRPr="00004F57">
              <w:rPr>
                <w:color w:val="auto"/>
                <w:lang w:val="uk-UA"/>
              </w:rPr>
              <w:t>players</w:t>
            </w:r>
            <w:proofErr w:type="spellEnd"/>
            <w:r w:rsidRPr="00004F57">
              <w:rPr>
                <w:color w:val="auto"/>
                <w:lang w:val="uk-UA"/>
              </w:rPr>
              <w:t xml:space="preserve"> </w:t>
            </w:r>
            <w:proofErr w:type="spellStart"/>
            <w:r w:rsidRPr="00004F57">
              <w:rPr>
                <w:color w:val="auto"/>
                <w:lang w:val="uk-UA"/>
              </w:rPr>
              <w:t>tend</w:t>
            </w:r>
            <w:proofErr w:type="spellEnd"/>
            <w:r w:rsidRPr="00004F57">
              <w:rPr>
                <w:color w:val="auto"/>
                <w:lang w:val="uk-UA"/>
              </w:rPr>
              <w:t xml:space="preserve"> </w:t>
            </w:r>
            <w:proofErr w:type="spellStart"/>
            <w:r w:rsidRPr="00004F57">
              <w:rPr>
                <w:color w:val="auto"/>
                <w:lang w:val="uk-UA"/>
              </w:rPr>
              <w:t>not</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fully</w:t>
            </w:r>
            <w:proofErr w:type="spellEnd"/>
            <w:r w:rsidRPr="00004F57">
              <w:rPr>
                <w:color w:val="auto"/>
                <w:lang w:val="uk-UA"/>
              </w:rPr>
              <w:t xml:space="preserve"> </w:t>
            </w:r>
            <w:proofErr w:type="spellStart"/>
            <w:r w:rsidRPr="00004F57">
              <w:rPr>
                <w:color w:val="auto"/>
                <w:lang w:val="uk-UA"/>
              </w:rPr>
              <w:t>comply</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resolutions</w:t>
            </w:r>
            <w:proofErr w:type="spellEnd"/>
            <w:r w:rsidRPr="00004F57">
              <w:rPr>
                <w:color w:val="auto"/>
                <w:lang w:val="uk-UA"/>
              </w:rPr>
              <w:t xml:space="preserve"> </w:t>
            </w:r>
            <w:proofErr w:type="spellStart"/>
            <w:r w:rsidRPr="00004F57">
              <w:rPr>
                <w:color w:val="auto"/>
                <w:lang w:val="uk-UA"/>
              </w:rPr>
              <w:t>mentioned</w:t>
            </w:r>
            <w:proofErr w:type="spellEnd"/>
            <w:r w:rsidRPr="00004F57">
              <w:rPr>
                <w:color w:val="auto"/>
                <w:lang w:val="uk-UA"/>
              </w:rPr>
              <w:t xml:space="preserve"> </w:t>
            </w:r>
            <w:proofErr w:type="spellStart"/>
            <w:r w:rsidRPr="00004F57">
              <w:rPr>
                <w:color w:val="auto"/>
                <w:lang w:val="uk-UA"/>
              </w:rPr>
              <w:t>above</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following</w:t>
            </w:r>
            <w:proofErr w:type="spellEnd"/>
            <w:r w:rsidRPr="00004F57">
              <w:rPr>
                <w:color w:val="auto"/>
                <w:lang w:val="uk-UA"/>
              </w:rPr>
              <w:t xml:space="preserve"> </w:t>
            </w:r>
            <w:proofErr w:type="spellStart"/>
            <w:r w:rsidRPr="00004F57">
              <w:rPr>
                <w:color w:val="auto"/>
                <w:lang w:val="uk-UA"/>
              </w:rPr>
              <w:t>reasons</w:t>
            </w:r>
            <w:proofErr w:type="spellEnd"/>
            <w:r w:rsidRPr="00004F57">
              <w:rPr>
                <w:color w:val="auto"/>
                <w:lang w:val="uk-UA"/>
              </w:rPr>
              <w:t>:</w:t>
            </w:r>
          </w:p>
          <w:p w:rsidR="00004F57" w:rsidRPr="00B977F5" w:rsidRDefault="00004F57" w:rsidP="00B977F5">
            <w:pPr>
              <w:pStyle w:val="Bullet"/>
              <w:numPr>
                <w:ilvl w:val="0"/>
                <w:numId w:val="20"/>
              </w:numPr>
              <w:spacing w:after="0"/>
              <w:jc w:val="both"/>
              <w:rPr>
                <w:color w:val="auto"/>
                <w:lang w:val="uk-UA"/>
              </w:rPr>
            </w:pPr>
            <w:proofErr w:type="spellStart"/>
            <w:r w:rsidRPr="00B977F5">
              <w:rPr>
                <w:color w:val="auto"/>
                <w:lang w:val="uk-UA"/>
              </w:rPr>
              <w:t>High</w:t>
            </w:r>
            <w:proofErr w:type="spellEnd"/>
            <w:r w:rsidRPr="00B977F5">
              <w:rPr>
                <w:color w:val="auto"/>
                <w:lang w:val="uk-UA"/>
              </w:rPr>
              <w:t xml:space="preserve"> </w:t>
            </w:r>
            <w:proofErr w:type="spellStart"/>
            <w:r w:rsidRPr="00B977F5">
              <w:rPr>
                <w:color w:val="auto"/>
                <w:lang w:val="uk-UA"/>
              </w:rPr>
              <w:t>insurance</w:t>
            </w:r>
            <w:proofErr w:type="spellEnd"/>
            <w:r w:rsidRPr="00B977F5">
              <w:rPr>
                <w:color w:val="auto"/>
                <w:lang w:val="uk-UA"/>
              </w:rPr>
              <w:t xml:space="preserve"> </w:t>
            </w:r>
            <w:proofErr w:type="spellStart"/>
            <w:r w:rsidRPr="00B977F5">
              <w:rPr>
                <w:color w:val="auto"/>
                <w:lang w:val="uk-UA"/>
              </w:rPr>
              <w:t>costs</w:t>
            </w:r>
            <w:proofErr w:type="spellEnd"/>
            <w:r w:rsidRPr="00B977F5">
              <w:rPr>
                <w:color w:val="auto"/>
                <w:lang w:val="uk-UA"/>
              </w:rPr>
              <w:t>;</w:t>
            </w:r>
          </w:p>
          <w:p w:rsidR="00B977F5" w:rsidRPr="00B977F5" w:rsidRDefault="00B977F5" w:rsidP="00B977F5">
            <w:pPr>
              <w:pStyle w:val="Bullet"/>
              <w:numPr>
                <w:ilvl w:val="0"/>
                <w:numId w:val="0"/>
              </w:numPr>
              <w:spacing w:after="0"/>
              <w:ind w:left="720"/>
              <w:jc w:val="both"/>
              <w:rPr>
                <w:color w:val="auto"/>
                <w:lang w:val="uk-UA"/>
              </w:rPr>
            </w:pPr>
          </w:p>
          <w:p w:rsidR="00004F57" w:rsidRPr="00B977F5" w:rsidRDefault="00004F57" w:rsidP="00B977F5">
            <w:pPr>
              <w:pStyle w:val="Bullet"/>
              <w:numPr>
                <w:ilvl w:val="0"/>
                <w:numId w:val="20"/>
              </w:numPr>
              <w:jc w:val="both"/>
              <w:rPr>
                <w:color w:val="auto"/>
                <w:lang w:val="uk-UA"/>
              </w:rPr>
            </w:pPr>
            <w:proofErr w:type="spellStart"/>
            <w:r w:rsidRPr="00B977F5">
              <w:rPr>
                <w:color w:val="auto"/>
                <w:lang w:val="uk-UA"/>
              </w:rPr>
              <w:t>Lack</w:t>
            </w:r>
            <w:proofErr w:type="spellEnd"/>
            <w:r w:rsidRPr="00B977F5">
              <w:rPr>
                <w:color w:val="auto"/>
                <w:lang w:val="uk-UA"/>
              </w:rPr>
              <w:t xml:space="preserve"> </w:t>
            </w:r>
            <w:proofErr w:type="spellStart"/>
            <w:r w:rsidRPr="00B977F5">
              <w:rPr>
                <w:color w:val="auto"/>
                <w:lang w:val="uk-UA"/>
              </w:rPr>
              <w:t>of</w:t>
            </w:r>
            <w:proofErr w:type="spellEnd"/>
            <w:r w:rsidRPr="00B977F5">
              <w:rPr>
                <w:color w:val="auto"/>
                <w:lang w:val="uk-UA"/>
              </w:rPr>
              <w:t xml:space="preserve"> </w:t>
            </w:r>
            <w:proofErr w:type="spellStart"/>
            <w:r w:rsidRPr="00B977F5">
              <w:rPr>
                <w:color w:val="auto"/>
                <w:lang w:val="uk-UA"/>
              </w:rPr>
              <w:t>penalties</w:t>
            </w:r>
            <w:proofErr w:type="spellEnd"/>
            <w:r w:rsidRPr="00B977F5">
              <w:rPr>
                <w:color w:val="auto"/>
                <w:lang w:val="uk-UA"/>
              </w:rPr>
              <w:t xml:space="preserve"> </w:t>
            </w:r>
            <w:proofErr w:type="spellStart"/>
            <w:r w:rsidRPr="00B977F5">
              <w:rPr>
                <w:color w:val="auto"/>
                <w:lang w:val="uk-UA"/>
              </w:rPr>
              <w:t>for</w:t>
            </w:r>
            <w:proofErr w:type="spellEnd"/>
            <w:r w:rsidRPr="00B977F5">
              <w:rPr>
                <w:color w:val="auto"/>
                <w:lang w:val="uk-UA"/>
              </w:rPr>
              <w:t xml:space="preserve"> </w:t>
            </w:r>
            <w:proofErr w:type="spellStart"/>
            <w:r w:rsidRPr="00B977F5">
              <w:rPr>
                <w:color w:val="auto"/>
                <w:lang w:val="uk-UA"/>
              </w:rPr>
              <w:t>failure</w:t>
            </w:r>
            <w:proofErr w:type="spellEnd"/>
            <w:r w:rsidRPr="00B977F5">
              <w:rPr>
                <w:color w:val="auto"/>
                <w:lang w:val="uk-UA"/>
              </w:rPr>
              <w:t xml:space="preserve"> </w:t>
            </w:r>
            <w:proofErr w:type="spellStart"/>
            <w:r w:rsidRPr="00B977F5">
              <w:rPr>
                <w:color w:val="auto"/>
                <w:lang w:val="uk-UA"/>
              </w:rPr>
              <w:t>to</w:t>
            </w:r>
            <w:proofErr w:type="spellEnd"/>
            <w:r w:rsidRPr="00B977F5">
              <w:rPr>
                <w:color w:val="auto"/>
                <w:lang w:val="uk-UA"/>
              </w:rPr>
              <w:t xml:space="preserve"> </w:t>
            </w:r>
            <w:proofErr w:type="spellStart"/>
            <w:r w:rsidRPr="00B977F5">
              <w:rPr>
                <w:color w:val="auto"/>
                <w:lang w:val="uk-UA"/>
              </w:rPr>
              <w:t>comply</w:t>
            </w:r>
            <w:proofErr w:type="spellEnd"/>
            <w:r w:rsidRPr="00B977F5">
              <w:rPr>
                <w:color w:val="auto"/>
                <w:lang w:val="uk-UA"/>
              </w:rPr>
              <w:t xml:space="preserve"> </w:t>
            </w:r>
            <w:proofErr w:type="spellStart"/>
            <w:r w:rsidRPr="00B977F5">
              <w:rPr>
                <w:color w:val="auto"/>
                <w:lang w:val="uk-UA"/>
              </w:rPr>
              <w:t>with</w:t>
            </w:r>
            <w:proofErr w:type="spellEnd"/>
            <w:r w:rsidRPr="00B977F5">
              <w:rPr>
                <w:color w:val="auto"/>
                <w:lang w:val="uk-UA"/>
              </w:rPr>
              <w:t xml:space="preserve"> </w:t>
            </w:r>
            <w:proofErr w:type="spellStart"/>
            <w:r w:rsidRPr="00B977F5">
              <w:rPr>
                <w:color w:val="auto"/>
                <w:lang w:val="uk-UA"/>
              </w:rPr>
              <w:t>the</w:t>
            </w:r>
            <w:proofErr w:type="spellEnd"/>
            <w:r w:rsidRPr="00B977F5">
              <w:rPr>
                <w:color w:val="auto"/>
                <w:lang w:val="uk-UA"/>
              </w:rPr>
              <w:t xml:space="preserve"> </w:t>
            </w:r>
            <w:proofErr w:type="spellStart"/>
            <w:r w:rsidRPr="00B977F5">
              <w:rPr>
                <w:color w:val="auto"/>
                <w:lang w:val="uk-UA"/>
              </w:rPr>
              <w:t>legislation</w:t>
            </w:r>
            <w:proofErr w:type="spellEnd"/>
            <w:r w:rsidRPr="00B977F5">
              <w:rPr>
                <w:color w:val="auto"/>
                <w:lang w:val="uk-UA"/>
              </w:rPr>
              <w:t xml:space="preserve"> </w:t>
            </w:r>
            <w:proofErr w:type="spellStart"/>
            <w:r w:rsidRPr="00B977F5">
              <w:rPr>
                <w:color w:val="auto"/>
                <w:lang w:val="uk-UA"/>
              </w:rPr>
              <w:t>mentioned</w:t>
            </w:r>
            <w:proofErr w:type="spellEnd"/>
            <w:r w:rsidRPr="00B977F5">
              <w:rPr>
                <w:color w:val="auto"/>
                <w:lang w:val="uk-UA"/>
              </w:rPr>
              <w:t xml:space="preserve"> </w:t>
            </w:r>
            <w:proofErr w:type="spellStart"/>
            <w:r w:rsidRPr="00B977F5">
              <w:rPr>
                <w:color w:val="auto"/>
                <w:lang w:val="uk-UA"/>
              </w:rPr>
              <w:t>above</w:t>
            </w:r>
            <w:proofErr w:type="spellEnd"/>
            <w:r w:rsidRPr="00B977F5">
              <w:rPr>
                <w:color w:val="auto"/>
                <w:lang w:val="uk-UA"/>
              </w:rPr>
              <w:t>.</w:t>
            </w:r>
          </w:p>
          <w:p w:rsidR="00B977F5" w:rsidRDefault="00B977F5" w:rsidP="00B977F5">
            <w:pPr>
              <w:pStyle w:val="story"/>
              <w:spacing w:after="0" w:afterAutospacing="0"/>
              <w:ind w:left="284" w:hanging="284"/>
              <w:jc w:val="both"/>
              <w:rPr>
                <w:rFonts w:asciiTheme="minorHAnsi" w:eastAsia="Batang" w:hAnsiTheme="minorHAnsi"/>
                <w:bCs/>
                <w:color w:val="auto"/>
                <w:kern w:val="32"/>
                <w:sz w:val="32"/>
                <w:szCs w:val="28"/>
                <w:lang w:eastAsia="ko-KR"/>
              </w:rPr>
            </w:pPr>
          </w:p>
          <w:p w:rsidR="00004F57" w:rsidRPr="00004F57" w:rsidRDefault="00004F57" w:rsidP="00B977F5">
            <w:pPr>
              <w:pStyle w:val="story"/>
              <w:spacing w:after="0" w:afterAutospacing="0"/>
              <w:ind w:left="284" w:hanging="284"/>
              <w:jc w:val="both"/>
              <w:rPr>
                <w:rFonts w:asciiTheme="minorHAnsi" w:eastAsia="Batang" w:hAnsiTheme="minorHAnsi"/>
                <w:bCs/>
                <w:color w:val="auto"/>
                <w:kern w:val="32"/>
                <w:sz w:val="32"/>
                <w:szCs w:val="28"/>
                <w:lang w:val="uk-UA" w:eastAsia="ko-KR"/>
              </w:rPr>
            </w:pPr>
            <w:r w:rsidRPr="00004F57">
              <w:rPr>
                <w:rFonts w:asciiTheme="minorHAnsi" w:eastAsia="Batang" w:hAnsiTheme="minorHAnsi"/>
                <w:bCs/>
                <w:color w:val="auto"/>
                <w:kern w:val="32"/>
                <w:sz w:val="32"/>
                <w:szCs w:val="28"/>
                <w:lang w:val="uk-UA" w:eastAsia="ko-KR"/>
              </w:rPr>
              <w:t>PAYMENT FOR GAS</w:t>
            </w:r>
          </w:p>
          <w:p w:rsidR="00004F57" w:rsidRPr="00004F57" w:rsidRDefault="00004F57" w:rsidP="00004F57">
            <w:pPr>
              <w:pStyle w:val="Bullet"/>
              <w:jc w:val="both"/>
              <w:rPr>
                <w:color w:val="auto"/>
              </w:rPr>
            </w:pP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National</w:t>
            </w:r>
            <w:proofErr w:type="spellEnd"/>
            <w:r w:rsidRPr="00004F57">
              <w:rPr>
                <w:color w:val="auto"/>
                <w:lang w:val="uk-UA"/>
              </w:rPr>
              <w:t xml:space="preserve"> </w:t>
            </w:r>
            <w:proofErr w:type="spellStart"/>
            <w:r w:rsidRPr="00004F57">
              <w:rPr>
                <w:color w:val="auto"/>
                <w:lang w:val="uk-UA"/>
              </w:rPr>
              <w:t>Commission</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Energy</w:t>
            </w:r>
            <w:proofErr w:type="spellEnd"/>
            <w:r w:rsidRPr="00004F57">
              <w:rPr>
                <w:color w:val="auto"/>
                <w:lang w:val="uk-UA"/>
              </w:rPr>
              <w:t xml:space="preserve"> </w:t>
            </w:r>
            <w:proofErr w:type="spellStart"/>
            <w:r w:rsidRPr="00004F57">
              <w:rPr>
                <w:color w:val="auto"/>
                <w:lang w:val="uk-UA"/>
              </w:rPr>
              <w:t>State</w:t>
            </w:r>
            <w:proofErr w:type="spellEnd"/>
            <w:r w:rsidRPr="00004F57">
              <w:rPr>
                <w:color w:val="auto"/>
                <w:lang w:val="uk-UA"/>
              </w:rPr>
              <w:t xml:space="preserve"> </w:t>
            </w:r>
            <w:proofErr w:type="spellStart"/>
            <w:r w:rsidRPr="00004F57">
              <w:rPr>
                <w:color w:val="auto"/>
                <w:lang w:val="uk-UA"/>
              </w:rPr>
              <w:t>Regulation</w:t>
            </w:r>
            <w:proofErr w:type="spellEnd"/>
            <w:r w:rsidRPr="00004F57">
              <w:rPr>
                <w:color w:val="auto"/>
                <w:lang w:val="uk-UA"/>
              </w:rPr>
              <w:t xml:space="preserve"> (NERC) </w:t>
            </w:r>
            <w:proofErr w:type="spellStart"/>
            <w:r w:rsidRPr="00004F57">
              <w:rPr>
                <w:color w:val="auto"/>
                <w:lang w:val="uk-UA"/>
              </w:rPr>
              <w:t>adopted</w:t>
            </w:r>
            <w:proofErr w:type="spellEnd"/>
            <w:r w:rsidRPr="00004F57">
              <w:rPr>
                <w:color w:val="auto"/>
                <w:lang w:val="uk-UA"/>
              </w:rPr>
              <w:t xml:space="preserve"> </w:t>
            </w:r>
            <w:proofErr w:type="spellStart"/>
            <w:r w:rsidRPr="00004F57">
              <w:rPr>
                <w:color w:val="auto"/>
                <w:lang w:val="uk-UA"/>
              </w:rPr>
              <w:t>Resolution</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577, </w:t>
            </w:r>
            <w:proofErr w:type="spellStart"/>
            <w:r w:rsidRPr="00004F57">
              <w:rPr>
                <w:color w:val="auto"/>
                <w:lang w:val="uk-UA"/>
              </w:rPr>
              <w:t>dated</w:t>
            </w:r>
            <w:proofErr w:type="spellEnd"/>
            <w:r w:rsidRPr="00004F57">
              <w:rPr>
                <w:color w:val="auto"/>
                <w:lang w:val="uk-UA"/>
              </w:rPr>
              <w:t xml:space="preserve"> </w:t>
            </w:r>
            <w:proofErr w:type="spellStart"/>
            <w:r w:rsidRPr="00004F57">
              <w:rPr>
                <w:color w:val="auto"/>
                <w:lang w:val="uk-UA"/>
              </w:rPr>
              <w:t>April</w:t>
            </w:r>
            <w:proofErr w:type="spellEnd"/>
            <w:r w:rsidRPr="00004F57">
              <w:rPr>
                <w:color w:val="auto"/>
                <w:lang w:val="uk-UA"/>
              </w:rPr>
              <w:t xml:space="preserve"> 30, 2014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Establishment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Upper</w:t>
            </w:r>
            <w:proofErr w:type="spellEnd"/>
            <w:r w:rsidRPr="00004F57">
              <w:rPr>
                <w:color w:val="auto"/>
                <w:lang w:val="uk-UA"/>
              </w:rPr>
              <w:t xml:space="preserve"> </w:t>
            </w:r>
            <w:proofErr w:type="spellStart"/>
            <w:r w:rsidRPr="00004F57">
              <w:rPr>
                <w:color w:val="auto"/>
                <w:lang w:val="uk-UA"/>
              </w:rPr>
              <w:t>Limit</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Natural</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Prices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Industrial</w:t>
            </w:r>
            <w:proofErr w:type="spellEnd"/>
            <w:r w:rsidRPr="00004F57">
              <w:rPr>
                <w:color w:val="auto"/>
                <w:lang w:val="uk-UA"/>
              </w:rPr>
              <w:t xml:space="preserve"> </w:t>
            </w:r>
            <w:proofErr w:type="spellStart"/>
            <w:r w:rsidRPr="00004F57">
              <w:rPr>
                <w:color w:val="auto"/>
                <w:lang w:val="uk-UA"/>
              </w:rPr>
              <w:t>Consumers</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Other</w:t>
            </w:r>
            <w:proofErr w:type="spellEnd"/>
            <w:r w:rsidRPr="00004F57">
              <w:rPr>
                <w:color w:val="auto"/>
                <w:lang w:val="uk-UA"/>
              </w:rPr>
              <w:t xml:space="preserve"> </w:t>
            </w:r>
            <w:proofErr w:type="spellStart"/>
            <w:r w:rsidRPr="00004F57">
              <w:rPr>
                <w:color w:val="auto"/>
                <w:lang w:val="uk-UA"/>
              </w:rPr>
              <w:t>Economic</w:t>
            </w:r>
            <w:proofErr w:type="spellEnd"/>
            <w:r w:rsidRPr="00004F57">
              <w:rPr>
                <w:color w:val="auto"/>
                <w:lang w:val="uk-UA"/>
              </w:rPr>
              <w:t xml:space="preserve"> </w:t>
            </w:r>
            <w:proofErr w:type="spellStart"/>
            <w:r w:rsidRPr="00004F57">
              <w:rPr>
                <w:color w:val="auto"/>
                <w:lang w:val="uk-UA"/>
              </w:rPr>
              <w:t>Entities</w:t>
            </w:r>
            <w:proofErr w:type="spellEnd"/>
            <w:r w:rsidRPr="00004F57">
              <w:rPr>
                <w:color w:val="auto"/>
                <w:lang w:val="uk-UA"/>
              </w:rPr>
              <w:t xml:space="preserve">,” </w:t>
            </w:r>
            <w:proofErr w:type="spellStart"/>
            <w:r w:rsidRPr="00004F57">
              <w:rPr>
                <w:color w:val="auto"/>
                <w:lang w:val="uk-UA"/>
              </w:rPr>
              <w:t>which</w:t>
            </w:r>
            <w:proofErr w:type="spellEnd"/>
            <w:r w:rsidRPr="00004F57">
              <w:rPr>
                <w:color w:val="auto"/>
                <w:lang w:val="uk-UA"/>
              </w:rPr>
              <w:t xml:space="preserve"> </w:t>
            </w:r>
            <w:proofErr w:type="spellStart"/>
            <w:r w:rsidRPr="00004F57">
              <w:rPr>
                <w:color w:val="auto"/>
                <w:lang w:val="uk-UA"/>
              </w:rPr>
              <w:t>provides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b/>
                <w:color w:val="auto"/>
                <w:lang w:val="uk-UA"/>
              </w:rPr>
              <w:t>the</w:t>
            </w:r>
            <w:proofErr w:type="spellEnd"/>
            <w:r w:rsidRPr="00004F57">
              <w:rPr>
                <w:b/>
                <w:color w:val="auto"/>
                <w:lang w:val="uk-UA"/>
              </w:rPr>
              <w:t xml:space="preserve"> </w:t>
            </w:r>
            <w:proofErr w:type="spellStart"/>
            <w:r w:rsidRPr="00004F57">
              <w:rPr>
                <w:b/>
                <w:color w:val="auto"/>
                <w:lang w:val="uk-UA"/>
              </w:rPr>
              <w:t>establishment</w:t>
            </w:r>
            <w:proofErr w:type="spellEnd"/>
            <w:r w:rsidRPr="00004F57">
              <w:rPr>
                <w:b/>
                <w:color w:val="auto"/>
                <w:lang w:val="uk-UA"/>
              </w:rPr>
              <w:t xml:space="preserve"> </w:t>
            </w:r>
            <w:proofErr w:type="spellStart"/>
            <w:r w:rsidRPr="00004F57">
              <w:rPr>
                <w:b/>
                <w:color w:val="auto"/>
                <w:lang w:val="uk-UA"/>
              </w:rPr>
              <w:t>of</w:t>
            </w:r>
            <w:proofErr w:type="spellEnd"/>
            <w:r w:rsidRPr="00004F57">
              <w:rPr>
                <w:b/>
                <w:color w:val="auto"/>
                <w:lang w:val="uk-UA"/>
              </w:rPr>
              <w:t xml:space="preserve"> </w:t>
            </w:r>
            <w:proofErr w:type="spellStart"/>
            <w:r w:rsidRPr="00004F57">
              <w:rPr>
                <w:b/>
                <w:color w:val="auto"/>
                <w:lang w:val="uk-UA"/>
              </w:rPr>
              <w:t>an</w:t>
            </w:r>
            <w:proofErr w:type="spellEnd"/>
            <w:r w:rsidRPr="00004F57">
              <w:rPr>
                <w:b/>
                <w:color w:val="auto"/>
                <w:lang w:val="uk-UA"/>
              </w:rPr>
              <w:t xml:space="preserve"> </w:t>
            </w:r>
            <w:proofErr w:type="spellStart"/>
            <w:r w:rsidRPr="00004F57">
              <w:rPr>
                <w:b/>
                <w:color w:val="auto"/>
                <w:lang w:val="uk-UA"/>
              </w:rPr>
              <w:t>upper</w:t>
            </w:r>
            <w:proofErr w:type="spellEnd"/>
            <w:r w:rsidRPr="00004F57">
              <w:rPr>
                <w:b/>
                <w:color w:val="auto"/>
                <w:lang w:val="uk-UA"/>
              </w:rPr>
              <w:t xml:space="preserve"> (</w:t>
            </w:r>
            <w:proofErr w:type="spellStart"/>
            <w:r w:rsidRPr="00004F57">
              <w:rPr>
                <w:b/>
                <w:color w:val="auto"/>
                <w:lang w:val="uk-UA"/>
              </w:rPr>
              <w:t>maximum</w:t>
            </w:r>
            <w:proofErr w:type="spellEnd"/>
            <w:r w:rsidRPr="00004F57">
              <w:rPr>
                <w:b/>
                <w:color w:val="auto"/>
                <w:lang w:val="uk-UA"/>
              </w:rPr>
              <w:t xml:space="preserve">) </w:t>
            </w:r>
            <w:proofErr w:type="spellStart"/>
            <w:r w:rsidRPr="00004F57">
              <w:rPr>
                <w:b/>
                <w:color w:val="auto"/>
                <w:lang w:val="uk-UA"/>
              </w:rPr>
              <w:t>price</w:t>
            </w:r>
            <w:proofErr w:type="spellEnd"/>
            <w:r w:rsidRPr="00004F57">
              <w:rPr>
                <w:b/>
                <w:color w:val="auto"/>
                <w:lang w:val="uk-UA"/>
              </w:rPr>
              <w:t xml:space="preserve"> </w:t>
            </w:r>
            <w:proofErr w:type="spellStart"/>
            <w:r w:rsidRPr="00004F57">
              <w:rPr>
                <w:b/>
                <w:color w:val="auto"/>
                <w:lang w:val="uk-UA"/>
              </w:rPr>
              <w:t>limit</w:t>
            </w:r>
            <w:proofErr w:type="spellEnd"/>
            <w:r w:rsidRPr="00004F57">
              <w:rPr>
                <w:b/>
                <w:color w:val="auto"/>
                <w:lang w:val="uk-UA"/>
              </w:rPr>
              <w:t xml:space="preserve"> </w:t>
            </w:r>
            <w:proofErr w:type="spellStart"/>
            <w:r w:rsidRPr="00004F57">
              <w:rPr>
                <w:b/>
                <w:color w:val="auto"/>
                <w:lang w:val="uk-UA"/>
              </w:rPr>
              <w:t>on</w:t>
            </w:r>
            <w:proofErr w:type="spellEnd"/>
            <w:r w:rsidRPr="00004F57">
              <w:rPr>
                <w:b/>
                <w:color w:val="auto"/>
                <w:lang w:val="uk-UA"/>
              </w:rPr>
              <w:t xml:space="preserve"> </w:t>
            </w:r>
            <w:proofErr w:type="spellStart"/>
            <w:r w:rsidRPr="00004F57">
              <w:rPr>
                <w:b/>
                <w:color w:val="auto"/>
                <w:lang w:val="uk-UA"/>
              </w:rPr>
              <w:t>natural</w:t>
            </w:r>
            <w:proofErr w:type="spellEnd"/>
            <w:r w:rsidRPr="00004F57">
              <w:rPr>
                <w:b/>
                <w:color w:val="auto"/>
                <w:lang w:val="uk-UA"/>
              </w:rPr>
              <w:t xml:space="preserve"> </w:t>
            </w:r>
            <w:proofErr w:type="spellStart"/>
            <w:r w:rsidRPr="00004F57">
              <w:rPr>
                <w:b/>
                <w:color w:val="auto"/>
                <w:lang w:val="uk-UA"/>
              </w:rPr>
              <w:t>gas</w:t>
            </w:r>
            <w:proofErr w:type="spellEnd"/>
            <w:r w:rsidRPr="00004F57">
              <w:rPr>
                <w:b/>
                <w:color w:val="auto"/>
                <w:lang w:val="uk-UA"/>
              </w:rPr>
              <w:t xml:space="preserve"> </w:t>
            </w:r>
            <w:proofErr w:type="spellStart"/>
            <w:r w:rsidRPr="00004F57">
              <w:rPr>
                <w:b/>
                <w:color w:val="auto"/>
                <w:lang w:val="uk-UA"/>
              </w:rPr>
              <w:t>to</w:t>
            </w:r>
            <w:proofErr w:type="spellEnd"/>
            <w:r w:rsidRPr="00004F57">
              <w:rPr>
                <w:b/>
                <w:color w:val="auto"/>
                <w:lang w:val="uk-UA"/>
              </w:rPr>
              <w:t xml:space="preserve"> </w:t>
            </w:r>
            <w:proofErr w:type="spellStart"/>
            <w:r w:rsidRPr="00004F57">
              <w:rPr>
                <w:b/>
                <w:color w:val="auto"/>
                <w:lang w:val="uk-UA"/>
              </w:rPr>
              <w:t>be</w:t>
            </w:r>
            <w:proofErr w:type="spellEnd"/>
            <w:r w:rsidRPr="00004F57">
              <w:rPr>
                <w:b/>
                <w:color w:val="auto"/>
                <w:lang w:val="uk-UA"/>
              </w:rPr>
              <w:t xml:space="preserve"> </w:t>
            </w:r>
            <w:proofErr w:type="spellStart"/>
            <w:r w:rsidRPr="00004F57">
              <w:rPr>
                <w:b/>
                <w:color w:val="auto"/>
                <w:lang w:val="uk-UA"/>
              </w:rPr>
              <w:t>sold</w:t>
            </w:r>
            <w:proofErr w:type="spellEnd"/>
            <w:r w:rsidRPr="00004F57">
              <w:rPr>
                <w:b/>
                <w:color w:val="auto"/>
                <w:lang w:val="uk-UA"/>
              </w:rPr>
              <w:t xml:space="preserve"> </w:t>
            </w:r>
            <w:proofErr w:type="spellStart"/>
            <w:r w:rsidRPr="00004F57">
              <w:rPr>
                <w:b/>
                <w:color w:val="auto"/>
                <w:lang w:val="uk-UA"/>
              </w:rPr>
              <w:t>to</w:t>
            </w:r>
            <w:proofErr w:type="spellEnd"/>
            <w:r w:rsidRPr="00004F57">
              <w:rPr>
                <w:b/>
                <w:color w:val="auto"/>
                <w:lang w:val="uk-UA"/>
              </w:rPr>
              <w:t xml:space="preserve"> </w:t>
            </w:r>
            <w:proofErr w:type="spellStart"/>
            <w:r w:rsidRPr="00004F57">
              <w:rPr>
                <w:b/>
                <w:color w:val="auto"/>
                <w:lang w:val="uk-UA"/>
              </w:rPr>
              <w:t>industrial</w:t>
            </w:r>
            <w:proofErr w:type="spellEnd"/>
            <w:r w:rsidRPr="00004F57">
              <w:rPr>
                <w:b/>
                <w:color w:val="auto"/>
                <w:lang w:val="uk-UA"/>
              </w:rPr>
              <w:t xml:space="preserve"> </w:t>
            </w:r>
            <w:proofErr w:type="spellStart"/>
            <w:r w:rsidRPr="00004F57">
              <w:rPr>
                <w:b/>
                <w:color w:val="auto"/>
                <w:lang w:val="uk-UA"/>
              </w:rPr>
              <w:t>consumers</w:t>
            </w:r>
            <w:proofErr w:type="spellEnd"/>
            <w:r w:rsidRPr="00004F57">
              <w:rPr>
                <w:b/>
                <w:color w:val="auto"/>
                <w:lang w:val="uk-UA"/>
              </w:rPr>
              <w:t xml:space="preserve"> </w:t>
            </w:r>
            <w:proofErr w:type="spellStart"/>
            <w:r w:rsidRPr="00004F57">
              <w:rPr>
                <w:b/>
                <w:color w:val="auto"/>
                <w:lang w:val="uk-UA"/>
              </w:rPr>
              <w:t>and</w:t>
            </w:r>
            <w:proofErr w:type="spellEnd"/>
            <w:r w:rsidRPr="00004F57">
              <w:rPr>
                <w:b/>
                <w:color w:val="auto"/>
                <w:lang w:val="uk-UA"/>
              </w:rPr>
              <w:t xml:space="preserve"> </w:t>
            </w:r>
            <w:proofErr w:type="spellStart"/>
            <w:r w:rsidRPr="00004F57">
              <w:rPr>
                <w:b/>
                <w:color w:val="auto"/>
                <w:lang w:val="uk-UA"/>
              </w:rPr>
              <w:t>other</w:t>
            </w:r>
            <w:proofErr w:type="spellEnd"/>
            <w:r w:rsidRPr="00004F57">
              <w:rPr>
                <w:b/>
                <w:color w:val="auto"/>
                <w:lang w:val="uk-UA"/>
              </w:rPr>
              <w:t xml:space="preserve"> </w:t>
            </w:r>
            <w:proofErr w:type="spellStart"/>
            <w:r w:rsidRPr="00004F57">
              <w:rPr>
                <w:b/>
                <w:color w:val="auto"/>
                <w:lang w:val="uk-UA"/>
              </w:rPr>
              <w:t>economic</w:t>
            </w:r>
            <w:proofErr w:type="spellEnd"/>
            <w:r w:rsidRPr="00004F57">
              <w:rPr>
                <w:b/>
                <w:color w:val="auto"/>
                <w:lang w:val="uk-UA"/>
              </w:rPr>
              <w:t xml:space="preserve"> </w:t>
            </w:r>
            <w:proofErr w:type="spellStart"/>
            <w:r w:rsidRPr="00004F57">
              <w:rPr>
                <w:b/>
                <w:color w:val="auto"/>
                <w:lang w:val="uk-UA"/>
              </w:rPr>
              <w:t>entities</w:t>
            </w:r>
            <w:proofErr w:type="spellEnd"/>
            <w:r w:rsidRPr="00004F57">
              <w:rPr>
                <w:b/>
                <w:color w:val="auto"/>
                <w:lang w:val="uk-UA"/>
              </w:rPr>
              <w:t xml:space="preserve">, - UAH 4,724.00 </w:t>
            </w:r>
            <w:proofErr w:type="spellStart"/>
            <w:r w:rsidRPr="00004F57">
              <w:rPr>
                <w:b/>
                <w:color w:val="auto"/>
                <w:lang w:val="uk-UA"/>
              </w:rPr>
              <w:t>for</w:t>
            </w:r>
            <w:proofErr w:type="spellEnd"/>
            <w:r w:rsidRPr="00004F57">
              <w:rPr>
                <w:b/>
                <w:color w:val="auto"/>
                <w:lang w:val="uk-UA"/>
              </w:rPr>
              <w:t xml:space="preserve"> 1000 м3</w:t>
            </w:r>
            <w:r w:rsidRPr="00004F57">
              <w:rPr>
                <w:color w:val="auto"/>
                <w:lang w:val="uk-UA"/>
              </w:rPr>
              <w:t xml:space="preserve"> (</w:t>
            </w:r>
            <w:proofErr w:type="spellStart"/>
            <w:r w:rsidRPr="00004F57">
              <w:rPr>
                <w:color w:val="auto"/>
                <w:lang w:val="uk-UA"/>
              </w:rPr>
              <w:t>excluding</w:t>
            </w:r>
            <w:proofErr w:type="spellEnd"/>
            <w:r w:rsidRPr="00004F57">
              <w:rPr>
                <w:color w:val="auto"/>
                <w:lang w:val="uk-UA"/>
              </w:rPr>
              <w:t xml:space="preserve"> VAT,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excluding</w:t>
            </w:r>
            <w:proofErr w:type="spellEnd"/>
            <w:r w:rsidRPr="00004F57">
              <w:rPr>
                <w:color w:val="auto"/>
                <w:lang w:val="uk-UA"/>
              </w:rPr>
              <w:t xml:space="preserve"> </w:t>
            </w:r>
            <w:proofErr w:type="spellStart"/>
            <w:r w:rsidRPr="00004F57">
              <w:rPr>
                <w:color w:val="auto"/>
                <w:lang w:val="uk-UA"/>
              </w:rPr>
              <w:t>surcharge</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existing</w:t>
            </w:r>
            <w:proofErr w:type="spellEnd"/>
            <w:r w:rsidRPr="00004F57">
              <w:rPr>
                <w:color w:val="auto"/>
                <w:lang w:val="uk-UA"/>
              </w:rPr>
              <w:t xml:space="preserve"> </w:t>
            </w:r>
            <w:proofErr w:type="spellStart"/>
            <w:r w:rsidRPr="00004F57">
              <w:rPr>
                <w:color w:val="auto"/>
                <w:lang w:val="uk-UA"/>
              </w:rPr>
              <w:t>natural</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tariff</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consumers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all</w:t>
            </w:r>
            <w:proofErr w:type="spellEnd"/>
            <w:r w:rsidRPr="00004F57">
              <w:rPr>
                <w:color w:val="auto"/>
                <w:lang w:val="uk-UA"/>
              </w:rPr>
              <w:t xml:space="preserve"> </w:t>
            </w:r>
            <w:proofErr w:type="spellStart"/>
            <w:r w:rsidRPr="00004F57">
              <w:rPr>
                <w:color w:val="auto"/>
                <w:lang w:val="uk-UA"/>
              </w:rPr>
              <w:t>forms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ownership</w:t>
            </w:r>
            <w:proofErr w:type="spellEnd"/>
            <w:r w:rsidRPr="00004F57">
              <w:rPr>
                <w:color w:val="auto"/>
                <w:lang w:val="uk-UA"/>
              </w:rPr>
              <w:t xml:space="preserve"> </w:t>
            </w:r>
            <w:proofErr w:type="spellStart"/>
            <w:r w:rsidRPr="00004F57">
              <w:rPr>
                <w:color w:val="auto"/>
                <w:lang w:val="uk-UA"/>
              </w:rPr>
              <w:t>levied</w:t>
            </w:r>
            <w:proofErr w:type="spellEnd"/>
            <w:r w:rsidRPr="00004F57">
              <w:rPr>
                <w:color w:val="auto"/>
                <w:lang w:val="uk-UA"/>
              </w:rPr>
              <w:t xml:space="preserve"> </w:t>
            </w:r>
            <w:proofErr w:type="spellStart"/>
            <w:r w:rsidRPr="00004F57">
              <w:rPr>
                <w:color w:val="auto"/>
                <w:lang w:val="uk-UA"/>
              </w:rPr>
              <w:t>at</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rate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two</w:t>
            </w:r>
            <w:proofErr w:type="spellEnd"/>
            <w:r w:rsidRPr="00004F57">
              <w:rPr>
                <w:color w:val="auto"/>
                <w:lang w:val="uk-UA"/>
              </w:rPr>
              <w:t xml:space="preserve"> </w:t>
            </w:r>
            <w:proofErr w:type="spellStart"/>
            <w:r w:rsidRPr="00004F57">
              <w:rPr>
                <w:color w:val="auto"/>
                <w:lang w:val="uk-UA"/>
              </w:rPr>
              <w:t>percent</w:t>
            </w:r>
            <w:proofErr w:type="spellEnd"/>
            <w:r w:rsidRPr="00004F57">
              <w:rPr>
                <w:color w:val="auto"/>
                <w:lang w:val="uk-UA"/>
              </w:rPr>
              <w:t xml:space="preserve">, </w:t>
            </w:r>
            <w:proofErr w:type="spellStart"/>
            <w:r w:rsidRPr="00004F57">
              <w:rPr>
                <w:color w:val="auto"/>
                <w:lang w:val="uk-UA"/>
              </w:rPr>
              <w:t>transportation</w:t>
            </w:r>
            <w:proofErr w:type="spellEnd"/>
            <w:r w:rsidRPr="00004F57">
              <w:rPr>
                <w:color w:val="auto"/>
                <w:lang w:val="uk-UA"/>
              </w:rPr>
              <w:t xml:space="preserve"> </w:t>
            </w:r>
            <w:proofErr w:type="spellStart"/>
            <w:r w:rsidRPr="00004F57">
              <w:rPr>
                <w:color w:val="auto"/>
                <w:lang w:val="uk-UA"/>
              </w:rPr>
              <w:t>fee</w:t>
            </w:r>
            <w:proofErr w:type="spellEnd"/>
            <w:r w:rsidRPr="00004F57">
              <w:rPr>
                <w:color w:val="auto"/>
                <w:lang w:val="uk-UA"/>
              </w:rPr>
              <w:t xml:space="preserve">, </w:t>
            </w:r>
            <w:proofErr w:type="spellStart"/>
            <w:r w:rsidRPr="00004F57">
              <w:rPr>
                <w:color w:val="auto"/>
                <w:lang w:val="uk-UA"/>
              </w:rPr>
              <w:t>distribution</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supply</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natural</w:t>
            </w:r>
            <w:proofErr w:type="spellEnd"/>
            <w:r w:rsidRPr="00004F57">
              <w:rPr>
                <w:color w:val="auto"/>
                <w:lang w:val="uk-UA"/>
              </w:rPr>
              <w:t xml:space="preserve"> </w:t>
            </w:r>
            <w:proofErr w:type="spellStart"/>
            <w:r w:rsidRPr="00004F57">
              <w:rPr>
                <w:color w:val="auto"/>
                <w:lang w:val="uk-UA"/>
              </w:rPr>
              <w:t>gas</w:t>
            </w:r>
            <w:proofErr w:type="spellEnd"/>
            <w:r w:rsidRPr="00004F57">
              <w:rPr>
                <w:color w:val="auto"/>
                <w:lang w:val="uk-UA"/>
              </w:rPr>
              <w:t xml:space="preserve"> </w:t>
            </w:r>
            <w:proofErr w:type="spellStart"/>
            <w:r w:rsidRPr="00004F57">
              <w:rPr>
                <w:color w:val="auto"/>
                <w:lang w:val="uk-UA"/>
              </w:rPr>
              <w:t>as</w:t>
            </w:r>
            <w:proofErr w:type="spellEnd"/>
            <w:r w:rsidRPr="00004F57">
              <w:rPr>
                <w:color w:val="auto"/>
                <w:lang w:val="uk-UA"/>
              </w:rPr>
              <w:t xml:space="preserve"> </w:t>
            </w:r>
            <w:proofErr w:type="spellStart"/>
            <w:r w:rsidRPr="00004F57">
              <w:rPr>
                <w:color w:val="auto"/>
                <w:lang w:val="uk-UA"/>
              </w:rPr>
              <w:t>per</w:t>
            </w:r>
            <w:proofErr w:type="spellEnd"/>
            <w:r w:rsidRPr="00004F57">
              <w:rPr>
                <w:color w:val="auto"/>
                <w:lang w:val="uk-UA"/>
              </w:rPr>
              <w:t xml:space="preserve"> </w:t>
            </w:r>
            <w:proofErr w:type="spellStart"/>
            <w:r w:rsidRPr="00004F57">
              <w:rPr>
                <w:color w:val="auto"/>
                <w:lang w:val="uk-UA"/>
              </w:rPr>
              <w:t>regulated</w:t>
            </w:r>
            <w:proofErr w:type="spellEnd"/>
            <w:r w:rsidRPr="00004F57">
              <w:rPr>
                <w:color w:val="auto"/>
                <w:lang w:val="uk-UA"/>
              </w:rPr>
              <w:t xml:space="preserve"> </w:t>
            </w:r>
            <w:proofErr w:type="spellStart"/>
            <w:r w:rsidRPr="00004F57">
              <w:rPr>
                <w:color w:val="auto"/>
                <w:lang w:val="uk-UA"/>
              </w:rPr>
              <w:t>tariff</w:t>
            </w:r>
            <w:proofErr w:type="spellEnd"/>
            <w:r w:rsidRPr="00004F57">
              <w:rPr>
                <w:color w:val="auto"/>
                <w:lang w:val="uk-UA"/>
              </w:rPr>
              <w:t>).</w:t>
            </w:r>
            <w:r w:rsidRPr="00004F57">
              <w:rPr>
                <w:color w:val="auto"/>
              </w:rPr>
              <w:t xml:space="preserve"> </w:t>
            </w:r>
          </w:p>
          <w:p w:rsidR="00B977F5" w:rsidRDefault="00B977F5" w:rsidP="00B977F5">
            <w:pPr>
              <w:pStyle w:val="story"/>
              <w:spacing w:after="0" w:afterAutospacing="0"/>
              <w:ind w:left="284" w:hanging="284"/>
              <w:jc w:val="both"/>
              <w:rPr>
                <w:rFonts w:asciiTheme="minorHAnsi" w:eastAsia="Batang" w:hAnsiTheme="minorHAnsi"/>
                <w:bCs/>
                <w:color w:val="auto"/>
                <w:kern w:val="32"/>
                <w:sz w:val="32"/>
                <w:szCs w:val="28"/>
                <w:lang w:eastAsia="ko-KR"/>
              </w:rPr>
            </w:pPr>
          </w:p>
          <w:p w:rsidR="00B977F5" w:rsidRDefault="00B977F5" w:rsidP="00B977F5">
            <w:pPr>
              <w:pStyle w:val="story"/>
              <w:spacing w:after="0" w:afterAutospacing="0"/>
              <w:ind w:left="284" w:hanging="284"/>
              <w:jc w:val="both"/>
              <w:rPr>
                <w:rFonts w:asciiTheme="minorHAnsi" w:eastAsia="Batang" w:hAnsiTheme="minorHAnsi"/>
                <w:bCs/>
                <w:color w:val="auto"/>
                <w:kern w:val="32"/>
                <w:sz w:val="32"/>
                <w:szCs w:val="28"/>
                <w:lang w:eastAsia="ko-KR"/>
              </w:rPr>
            </w:pPr>
          </w:p>
          <w:p w:rsidR="00B977F5" w:rsidRDefault="00B977F5" w:rsidP="00B977F5">
            <w:pPr>
              <w:pStyle w:val="story"/>
              <w:spacing w:after="0" w:afterAutospacing="0"/>
              <w:ind w:left="284" w:hanging="284"/>
              <w:jc w:val="both"/>
              <w:rPr>
                <w:rFonts w:asciiTheme="minorHAnsi" w:eastAsia="Batang" w:hAnsiTheme="minorHAnsi"/>
                <w:bCs/>
                <w:color w:val="auto"/>
                <w:kern w:val="32"/>
                <w:sz w:val="32"/>
                <w:szCs w:val="28"/>
                <w:lang w:eastAsia="ko-KR"/>
              </w:rPr>
            </w:pPr>
          </w:p>
          <w:p w:rsidR="00004F57" w:rsidRPr="00004F57" w:rsidRDefault="00004F57" w:rsidP="00B977F5">
            <w:pPr>
              <w:pStyle w:val="story"/>
              <w:spacing w:after="0" w:afterAutospacing="0"/>
              <w:ind w:left="284" w:hanging="284"/>
              <w:jc w:val="both"/>
              <w:rPr>
                <w:rFonts w:asciiTheme="minorHAnsi" w:eastAsia="Batang" w:hAnsiTheme="minorHAnsi"/>
                <w:bCs/>
                <w:color w:val="auto"/>
                <w:kern w:val="32"/>
                <w:sz w:val="32"/>
                <w:szCs w:val="28"/>
                <w:lang w:val="uk-UA" w:eastAsia="ko-KR"/>
              </w:rPr>
            </w:pPr>
            <w:r w:rsidRPr="00004F57">
              <w:rPr>
                <w:rFonts w:asciiTheme="minorHAnsi" w:eastAsia="Batang" w:hAnsiTheme="minorHAnsi"/>
                <w:bCs/>
                <w:color w:val="auto"/>
                <w:kern w:val="32"/>
                <w:sz w:val="32"/>
                <w:szCs w:val="28"/>
                <w:lang w:val="uk-UA" w:eastAsia="ko-KR"/>
              </w:rPr>
              <w:t>ELECTRIC POWER INDUSTRY</w:t>
            </w:r>
          </w:p>
          <w:p w:rsidR="00004F57" w:rsidRPr="00004F57" w:rsidRDefault="00004F57" w:rsidP="00B977F5">
            <w:pPr>
              <w:pStyle w:val="NormalWeb"/>
              <w:spacing w:before="0" w:beforeAutospacing="0" w:after="0" w:afterAutospacing="0"/>
              <w:jc w:val="both"/>
              <w:rPr>
                <w:rFonts w:asciiTheme="minorHAnsi" w:hAnsiTheme="minorHAnsi" w:cs="Arial"/>
                <w:sz w:val="20"/>
                <w:szCs w:val="20"/>
                <w:lang w:val="uk-UA"/>
              </w:rPr>
            </w:pPr>
            <w:r w:rsidRPr="00004F57">
              <w:rPr>
                <w:rFonts w:asciiTheme="minorHAnsi" w:hAnsiTheme="minorHAnsi" w:cs="Arial"/>
                <w:sz w:val="20"/>
                <w:szCs w:val="20"/>
                <w:lang w:val="uk-UA" w:eastAsia="ko-KR"/>
              </w:rPr>
              <w:t xml:space="preserve">NERC </w:t>
            </w:r>
            <w:proofErr w:type="spellStart"/>
            <w:r w:rsidRPr="00004F57">
              <w:rPr>
                <w:rFonts w:asciiTheme="minorHAnsi" w:hAnsiTheme="minorHAnsi" w:cs="Arial"/>
                <w:sz w:val="20"/>
                <w:szCs w:val="20"/>
                <w:lang w:val="uk-UA" w:eastAsia="ko-KR"/>
              </w:rPr>
              <w:t>issued</w:t>
            </w:r>
            <w:proofErr w:type="spellEnd"/>
            <w:r w:rsidRPr="00004F57">
              <w:rPr>
                <w:rFonts w:asciiTheme="minorHAnsi" w:hAnsiTheme="minorHAnsi" w:cs="Arial"/>
                <w:sz w:val="20"/>
                <w:szCs w:val="20"/>
                <w:lang w:val="uk-UA" w:eastAsia="ko-KR"/>
              </w:rPr>
              <w:t xml:space="preserve"> a </w:t>
            </w:r>
            <w:proofErr w:type="spellStart"/>
            <w:r w:rsidRPr="00004F57">
              <w:rPr>
                <w:rFonts w:asciiTheme="minorHAnsi" w:hAnsiTheme="minorHAnsi" w:cs="Arial"/>
                <w:sz w:val="20"/>
                <w:szCs w:val="20"/>
                <w:lang w:val="uk-UA" w:eastAsia="ko-KR"/>
              </w:rPr>
              <w:t>number</w:t>
            </w:r>
            <w:proofErr w:type="spellEnd"/>
            <w:r w:rsidRPr="00004F57">
              <w:rPr>
                <w:rFonts w:asciiTheme="minorHAnsi" w:hAnsiTheme="minorHAnsi" w:cs="Arial"/>
                <w:sz w:val="20"/>
                <w:szCs w:val="20"/>
                <w:lang w:val="uk-UA" w:eastAsia="ko-KR"/>
              </w:rPr>
              <w:t xml:space="preserve"> </w:t>
            </w:r>
            <w:proofErr w:type="spellStart"/>
            <w:r w:rsidRPr="00004F57">
              <w:rPr>
                <w:rFonts w:asciiTheme="minorHAnsi" w:hAnsiTheme="minorHAnsi" w:cs="Arial"/>
                <w:sz w:val="20"/>
                <w:szCs w:val="20"/>
                <w:lang w:val="uk-UA" w:eastAsia="ko-KR"/>
              </w:rPr>
              <w:t>of</w:t>
            </w:r>
            <w:proofErr w:type="spellEnd"/>
            <w:r w:rsidRPr="00004F57">
              <w:rPr>
                <w:rFonts w:asciiTheme="minorHAnsi" w:hAnsiTheme="minorHAnsi" w:cs="Arial"/>
                <w:sz w:val="20"/>
                <w:szCs w:val="20"/>
                <w:lang w:val="uk-UA" w:eastAsia="ko-KR"/>
              </w:rPr>
              <w:t xml:space="preserve"> </w:t>
            </w:r>
            <w:proofErr w:type="spellStart"/>
            <w:r w:rsidRPr="00004F57">
              <w:rPr>
                <w:rFonts w:asciiTheme="minorHAnsi" w:hAnsiTheme="minorHAnsi" w:cs="Arial"/>
                <w:sz w:val="20"/>
                <w:szCs w:val="20"/>
                <w:lang w:val="uk-UA" w:eastAsia="ko-KR"/>
              </w:rPr>
              <w:t>important</w:t>
            </w:r>
            <w:proofErr w:type="spellEnd"/>
            <w:r w:rsidRPr="00004F57">
              <w:rPr>
                <w:rFonts w:asciiTheme="minorHAnsi" w:hAnsiTheme="minorHAnsi" w:cs="Arial"/>
                <w:sz w:val="20"/>
                <w:szCs w:val="20"/>
                <w:lang w:val="uk-UA" w:eastAsia="ko-KR"/>
              </w:rPr>
              <w:t xml:space="preserve"> </w:t>
            </w:r>
            <w:proofErr w:type="spellStart"/>
            <w:r w:rsidRPr="00004F57">
              <w:rPr>
                <w:rFonts w:asciiTheme="minorHAnsi" w:hAnsiTheme="minorHAnsi" w:cs="Arial"/>
                <w:sz w:val="20"/>
                <w:szCs w:val="20"/>
                <w:lang w:val="uk-UA" w:eastAsia="ko-KR"/>
              </w:rPr>
              <w:t>information</w:t>
            </w:r>
            <w:proofErr w:type="spellEnd"/>
            <w:r w:rsidRPr="00004F57">
              <w:rPr>
                <w:rFonts w:asciiTheme="minorHAnsi" w:hAnsiTheme="minorHAnsi" w:cs="Arial"/>
                <w:sz w:val="20"/>
                <w:szCs w:val="20"/>
                <w:lang w:val="uk-UA" w:eastAsia="ko-KR"/>
              </w:rPr>
              <w:t xml:space="preserve"> </w:t>
            </w:r>
            <w:proofErr w:type="spellStart"/>
            <w:r w:rsidRPr="00004F57">
              <w:rPr>
                <w:rFonts w:asciiTheme="minorHAnsi" w:hAnsiTheme="minorHAnsi" w:cs="Arial"/>
                <w:sz w:val="20"/>
                <w:szCs w:val="20"/>
                <w:lang w:val="uk-UA" w:eastAsia="ko-KR"/>
              </w:rPr>
              <w:t>letters</w:t>
            </w:r>
            <w:proofErr w:type="spellEnd"/>
            <w:r w:rsidRPr="00004F57">
              <w:rPr>
                <w:rFonts w:asciiTheme="minorHAnsi" w:hAnsiTheme="minorHAnsi" w:cs="Arial"/>
                <w:sz w:val="20"/>
                <w:szCs w:val="20"/>
                <w:lang w:val="uk-UA" w:eastAsia="ko-KR"/>
              </w:rPr>
              <w:t xml:space="preserve">, </w:t>
            </w:r>
            <w:proofErr w:type="spellStart"/>
            <w:r w:rsidRPr="00004F57">
              <w:rPr>
                <w:rFonts w:asciiTheme="minorHAnsi" w:hAnsiTheme="minorHAnsi" w:cs="Arial"/>
                <w:sz w:val="20"/>
                <w:szCs w:val="20"/>
                <w:lang w:val="uk-UA" w:eastAsia="ko-KR"/>
              </w:rPr>
              <w:t>in</w:t>
            </w:r>
            <w:proofErr w:type="spellEnd"/>
            <w:r w:rsidRPr="00004F57">
              <w:rPr>
                <w:rFonts w:asciiTheme="minorHAnsi" w:hAnsiTheme="minorHAnsi" w:cs="Arial"/>
                <w:sz w:val="20"/>
                <w:szCs w:val="20"/>
                <w:lang w:val="uk-UA" w:eastAsia="ko-KR"/>
              </w:rPr>
              <w:t xml:space="preserve"> </w:t>
            </w:r>
            <w:proofErr w:type="spellStart"/>
            <w:r w:rsidRPr="00004F57">
              <w:rPr>
                <w:rFonts w:asciiTheme="minorHAnsi" w:hAnsiTheme="minorHAnsi" w:cs="Arial"/>
                <w:sz w:val="20"/>
                <w:szCs w:val="20"/>
                <w:lang w:val="uk-UA" w:eastAsia="ko-KR"/>
              </w:rPr>
              <w:t>particular</w:t>
            </w:r>
            <w:proofErr w:type="spellEnd"/>
            <w:r w:rsidRPr="00004F57">
              <w:rPr>
                <w:rFonts w:asciiTheme="minorHAnsi" w:hAnsiTheme="minorHAnsi" w:cs="Arial"/>
                <w:sz w:val="20"/>
                <w:szCs w:val="20"/>
                <w:lang w:val="uk-UA" w:eastAsia="ko-KR"/>
              </w:rPr>
              <w:t>:</w:t>
            </w:r>
          </w:p>
          <w:p w:rsidR="00004F57" w:rsidRPr="00004F57" w:rsidRDefault="00004F57" w:rsidP="00004F57">
            <w:pPr>
              <w:pStyle w:val="Bullet"/>
              <w:numPr>
                <w:ilvl w:val="0"/>
                <w:numId w:val="8"/>
              </w:numPr>
              <w:ind w:left="567" w:hanging="567"/>
              <w:jc w:val="both"/>
              <w:rPr>
                <w:color w:val="auto"/>
                <w:lang w:val="uk-UA"/>
              </w:rPr>
            </w:pPr>
            <w:r w:rsidRPr="00004F57">
              <w:rPr>
                <w:color w:val="auto"/>
                <w:lang w:val="uk-UA"/>
              </w:rPr>
              <w:t>“</w:t>
            </w:r>
            <w:proofErr w:type="spellStart"/>
            <w:r w:rsidRPr="00004F57">
              <w:rPr>
                <w:color w:val="auto"/>
                <w:lang w:val="uk-UA"/>
              </w:rPr>
              <w:t>Concerning</w:t>
            </w:r>
            <w:proofErr w:type="spellEnd"/>
            <w:r w:rsidRPr="00004F57">
              <w:rPr>
                <w:color w:val="auto"/>
                <w:lang w:val="uk-UA"/>
              </w:rPr>
              <w:t xml:space="preserve"> non-</w:t>
            </w:r>
            <w:proofErr w:type="spellStart"/>
            <w:r w:rsidRPr="00004F57">
              <w:rPr>
                <w:color w:val="auto"/>
                <w:lang w:val="uk-UA"/>
              </w:rPr>
              <w:t>standard</w:t>
            </w:r>
            <w:proofErr w:type="spellEnd"/>
            <w:r w:rsidRPr="00004F57">
              <w:rPr>
                <w:color w:val="auto"/>
                <w:lang w:val="uk-UA"/>
              </w:rPr>
              <w:t xml:space="preserve"> </w:t>
            </w:r>
            <w:proofErr w:type="spellStart"/>
            <w:r w:rsidRPr="00004F57">
              <w:rPr>
                <w:color w:val="auto"/>
                <w:lang w:val="uk-UA"/>
              </w:rPr>
              <w:t>connection</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electricity</w:t>
            </w:r>
            <w:proofErr w:type="spellEnd"/>
            <w:r w:rsidRPr="00004F57">
              <w:rPr>
                <w:color w:val="auto"/>
                <w:lang w:val="uk-UA"/>
              </w:rPr>
              <w:t xml:space="preserve"> </w:t>
            </w:r>
            <w:proofErr w:type="spellStart"/>
            <w:r w:rsidRPr="00004F57">
              <w:rPr>
                <w:color w:val="auto"/>
                <w:lang w:val="uk-UA"/>
              </w:rPr>
              <w:t>generating</w:t>
            </w:r>
            <w:proofErr w:type="spellEnd"/>
            <w:r w:rsidRPr="00004F57">
              <w:rPr>
                <w:color w:val="auto"/>
                <w:lang w:val="uk-UA"/>
              </w:rPr>
              <w:t xml:space="preserve"> </w:t>
            </w:r>
            <w:proofErr w:type="spellStart"/>
            <w:r w:rsidRPr="00004F57">
              <w:rPr>
                <w:color w:val="auto"/>
                <w:lang w:val="uk-UA"/>
              </w:rPr>
              <w:t>plants</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electric</w:t>
            </w:r>
            <w:proofErr w:type="spellEnd"/>
            <w:r w:rsidRPr="00004F57">
              <w:rPr>
                <w:color w:val="auto"/>
                <w:lang w:val="uk-UA"/>
              </w:rPr>
              <w:t xml:space="preserve"> </w:t>
            </w:r>
            <w:proofErr w:type="spellStart"/>
            <w:r w:rsidRPr="00004F57">
              <w:rPr>
                <w:color w:val="auto"/>
                <w:lang w:val="uk-UA"/>
              </w:rPr>
              <w:t>networks</w:t>
            </w:r>
            <w:proofErr w:type="spellEnd"/>
            <w:r w:rsidRPr="00004F57">
              <w:rPr>
                <w:color w:val="auto"/>
                <w:lang w:val="uk-UA"/>
              </w:rPr>
              <w:t xml:space="preserve">,” </w:t>
            </w:r>
            <w:proofErr w:type="spellStart"/>
            <w:r w:rsidRPr="00004F57">
              <w:rPr>
                <w:color w:val="auto"/>
                <w:lang w:val="uk-UA"/>
              </w:rPr>
              <w:t>letter</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1276/26/47-14 </w:t>
            </w:r>
            <w:proofErr w:type="spellStart"/>
            <w:r w:rsidRPr="00004F57">
              <w:rPr>
                <w:color w:val="auto"/>
                <w:lang w:val="uk-UA"/>
              </w:rPr>
              <w:t>dated</w:t>
            </w:r>
            <w:proofErr w:type="spellEnd"/>
            <w:r w:rsidRPr="00004F57">
              <w:rPr>
                <w:color w:val="auto"/>
                <w:lang w:val="uk-UA"/>
              </w:rPr>
              <w:t xml:space="preserve"> 28.02.2014;</w:t>
            </w:r>
          </w:p>
          <w:p w:rsidR="00004F57" w:rsidRPr="00004F57" w:rsidRDefault="00004F57" w:rsidP="00004F57">
            <w:pPr>
              <w:pStyle w:val="Bullet"/>
              <w:numPr>
                <w:ilvl w:val="0"/>
                <w:numId w:val="8"/>
              </w:numPr>
              <w:ind w:left="567" w:hanging="567"/>
              <w:jc w:val="both"/>
              <w:rPr>
                <w:color w:val="auto"/>
                <w:lang w:val="uk-UA"/>
              </w:rPr>
            </w:pPr>
            <w:r w:rsidRPr="00004F57">
              <w:rPr>
                <w:color w:val="auto"/>
                <w:lang w:val="uk-UA"/>
              </w:rPr>
              <w:t>“</w:t>
            </w:r>
            <w:proofErr w:type="spellStart"/>
            <w:r w:rsidRPr="00004F57">
              <w:rPr>
                <w:color w:val="auto"/>
                <w:lang w:val="uk-UA"/>
              </w:rPr>
              <w:t>Concerning</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procedure</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transfer</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power</w:t>
            </w:r>
            <w:proofErr w:type="spellEnd"/>
            <w:r w:rsidRPr="00004F57">
              <w:rPr>
                <w:color w:val="auto"/>
                <w:lang w:val="uk-UA"/>
              </w:rPr>
              <w:t xml:space="preserve"> </w:t>
            </w:r>
            <w:proofErr w:type="spellStart"/>
            <w:r w:rsidRPr="00004F57">
              <w:rPr>
                <w:color w:val="auto"/>
                <w:lang w:val="uk-UA"/>
              </w:rPr>
              <w:t>grids</w:t>
            </w:r>
            <w:proofErr w:type="spellEnd"/>
            <w:r w:rsidRPr="00004F57">
              <w:rPr>
                <w:color w:val="auto"/>
                <w:lang w:val="uk-UA"/>
              </w:rPr>
              <w:t xml:space="preserve"> </w:t>
            </w:r>
            <w:proofErr w:type="spellStart"/>
            <w:r w:rsidRPr="00004F57">
              <w:rPr>
                <w:color w:val="auto"/>
                <w:lang w:val="uk-UA"/>
              </w:rPr>
              <w:t>under</w:t>
            </w:r>
            <w:proofErr w:type="spellEnd"/>
            <w:r w:rsidRPr="00004F57">
              <w:rPr>
                <w:color w:val="auto"/>
                <w:lang w:val="uk-UA"/>
              </w:rPr>
              <w:t xml:space="preserve"> </w:t>
            </w:r>
            <w:proofErr w:type="spellStart"/>
            <w:r w:rsidRPr="00004F57">
              <w:rPr>
                <w:color w:val="auto"/>
                <w:lang w:val="uk-UA"/>
              </w:rPr>
              <w:t>abeyance</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power</w:t>
            </w:r>
            <w:proofErr w:type="spellEnd"/>
            <w:r w:rsidRPr="00004F57">
              <w:rPr>
                <w:color w:val="auto"/>
                <w:lang w:val="uk-UA"/>
              </w:rPr>
              <w:t xml:space="preserve"> </w:t>
            </w:r>
            <w:proofErr w:type="spellStart"/>
            <w:r w:rsidRPr="00004F57">
              <w:rPr>
                <w:color w:val="auto"/>
                <w:lang w:val="uk-UA"/>
              </w:rPr>
              <w:t>transmission</w:t>
            </w:r>
            <w:proofErr w:type="spellEnd"/>
            <w:r w:rsidRPr="00004F57">
              <w:rPr>
                <w:color w:val="auto"/>
                <w:lang w:val="uk-UA"/>
              </w:rPr>
              <w:t xml:space="preserve"> </w:t>
            </w:r>
            <w:proofErr w:type="spellStart"/>
            <w:r w:rsidRPr="00004F57">
              <w:rPr>
                <w:color w:val="auto"/>
                <w:lang w:val="uk-UA"/>
              </w:rPr>
              <w:t>organizations</w:t>
            </w:r>
            <w:proofErr w:type="spellEnd"/>
            <w:r w:rsidRPr="00004F57">
              <w:rPr>
                <w:color w:val="auto"/>
                <w:lang w:val="uk-UA"/>
              </w:rPr>
              <w:t xml:space="preserve">,” </w:t>
            </w:r>
            <w:proofErr w:type="spellStart"/>
            <w:r w:rsidRPr="00004F57">
              <w:rPr>
                <w:color w:val="auto"/>
                <w:lang w:val="uk-UA"/>
              </w:rPr>
              <w:t>letter</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1218/26/47-14 </w:t>
            </w:r>
            <w:proofErr w:type="spellStart"/>
            <w:r w:rsidRPr="00004F57">
              <w:rPr>
                <w:color w:val="auto"/>
                <w:lang w:val="uk-UA"/>
              </w:rPr>
              <w:t>dated</w:t>
            </w:r>
            <w:proofErr w:type="spellEnd"/>
            <w:r w:rsidRPr="00004F57">
              <w:rPr>
                <w:color w:val="auto"/>
                <w:lang w:val="uk-UA"/>
              </w:rPr>
              <w:t xml:space="preserve"> 26.02.2014;</w:t>
            </w:r>
          </w:p>
          <w:p w:rsidR="00004F57" w:rsidRPr="00004F57" w:rsidRDefault="00004F57" w:rsidP="00004F57">
            <w:pPr>
              <w:pStyle w:val="Bullet"/>
              <w:numPr>
                <w:ilvl w:val="0"/>
                <w:numId w:val="8"/>
              </w:numPr>
              <w:ind w:left="567" w:hanging="567"/>
              <w:jc w:val="both"/>
              <w:rPr>
                <w:color w:val="auto"/>
                <w:lang w:val="uk-UA"/>
              </w:rPr>
            </w:pPr>
            <w:r w:rsidRPr="00004F57">
              <w:rPr>
                <w:color w:val="auto"/>
                <w:lang w:val="uk-UA"/>
              </w:rPr>
              <w:t>“</w:t>
            </w:r>
            <w:proofErr w:type="spellStart"/>
            <w:r w:rsidRPr="00004F57">
              <w:rPr>
                <w:color w:val="auto"/>
                <w:lang w:val="uk-UA"/>
              </w:rPr>
              <w:t>Concerning</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procedure</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connection</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electricity</w:t>
            </w:r>
            <w:proofErr w:type="spellEnd"/>
            <w:r w:rsidRPr="00004F57">
              <w:rPr>
                <w:color w:val="auto"/>
                <w:lang w:val="uk-UA"/>
              </w:rPr>
              <w:t xml:space="preserve"> </w:t>
            </w:r>
            <w:proofErr w:type="spellStart"/>
            <w:r w:rsidRPr="00004F57">
              <w:rPr>
                <w:color w:val="auto"/>
                <w:lang w:val="uk-UA"/>
              </w:rPr>
              <w:t>generating</w:t>
            </w:r>
            <w:proofErr w:type="spellEnd"/>
            <w:r w:rsidRPr="00004F57">
              <w:rPr>
                <w:color w:val="auto"/>
                <w:lang w:val="uk-UA"/>
              </w:rPr>
              <w:t xml:space="preserve"> </w:t>
            </w:r>
            <w:proofErr w:type="spellStart"/>
            <w:r w:rsidRPr="00004F57">
              <w:rPr>
                <w:color w:val="auto"/>
                <w:lang w:val="uk-UA"/>
              </w:rPr>
              <w:t>plants</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power</w:t>
            </w:r>
            <w:proofErr w:type="spellEnd"/>
            <w:r w:rsidRPr="00004F57">
              <w:rPr>
                <w:color w:val="auto"/>
                <w:lang w:val="uk-UA"/>
              </w:rPr>
              <w:t xml:space="preserve"> </w:t>
            </w:r>
            <w:proofErr w:type="spellStart"/>
            <w:r w:rsidRPr="00004F57">
              <w:rPr>
                <w:color w:val="auto"/>
                <w:lang w:val="uk-UA"/>
              </w:rPr>
              <w:t>grids</w:t>
            </w:r>
            <w:proofErr w:type="spellEnd"/>
            <w:r w:rsidRPr="00004F57">
              <w:rPr>
                <w:color w:val="auto"/>
                <w:lang w:val="uk-UA"/>
              </w:rPr>
              <w:t xml:space="preserve">,” </w:t>
            </w:r>
            <w:proofErr w:type="spellStart"/>
            <w:r w:rsidRPr="00004F57">
              <w:rPr>
                <w:color w:val="auto"/>
                <w:lang w:val="uk-UA"/>
              </w:rPr>
              <w:t>letter</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277/26/47-14 </w:t>
            </w:r>
            <w:proofErr w:type="spellStart"/>
            <w:r w:rsidRPr="00004F57">
              <w:rPr>
                <w:color w:val="auto"/>
                <w:lang w:val="uk-UA"/>
              </w:rPr>
              <w:t>dated</w:t>
            </w:r>
            <w:proofErr w:type="spellEnd"/>
            <w:r w:rsidRPr="00004F57">
              <w:rPr>
                <w:color w:val="auto"/>
                <w:lang w:val="uk-UA"/>
              </w:rPr>
              <w:t xml:space="preserve"> 16.01.2014;</w:t>
            </w:r>
          </w:p>
          <w:p w:rsidR="00004F57" w:rsidRPr="00004F57" w:rsidRDefault="00004F57" w:rsidP="00004F57">
            <w:pPr>
              <w:pStyle w:val="Bullet"/>
              <w:numPr>
                <w:ilvl w:val="0"/>
                <w:numId w:val="8"/>
              </w:numPr>
              <w:ind w:left="567" w:hanging="567"/>
              <w:jc w:val="both"/>
              <w:rPr>
                <w:color w:val="auto"/>
                <w:lang w:val="uk-UA"/>
              </w:rPr>
            </w:pPr>
            <w:r w:rsidRPr="00004F57">
              <w:rPr>
                <w:color w:val="auto"/>
                <w:lang w:val="uk-UA"/>
              </w:rPr>
              <w:t>“</w:t>
            </w:r>
            <w:proofErr w:type="spellStart"/>
            <w:r w:rsidRPr="00004F57">
              <w:rPr>
                <w:color w:val="auto"/>
                <w:lang w:val="uk-UA"/>
              </w:rPr>
              <w:t>Concerning</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conclusion</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an</w:t>
            </w:r>
            <w:proofErr w:type="spellEnd"/>
            <w:r w:rsidRPr="00004F57">
              <w:rPr>
                <w:color w:val="auto"/>
                <w:lang w:val="uk-UA"/>
              </w:rPr>
              <w:t xml:space="preserve"> </w:t>
            </w:r>
            <w:proofErr w:type="spellStart"/>
            <w:r w:rsidRPr="00004F57">
              <w:rPr>
                <w:color w:val="auto"/>
                <w:lang w:val="uk-UA"/>
              </w:rPr>
              <w:t>electric</w:t>
            </w:r>
            <w:proofErr w:type="spellEnd"/>
            <w:r w:rsidRPr="00004F57">
              <w:rPr>
                <w:color w:val="auto"/>
                <w:lang w:val="uk-UA"/>
              </w:rPr>
              <w:t xml:space="preserve"> </w:t>
            </w:r>
            <w:proofErr w:type="spellStart"/>
            <w:r w:rsidRPr="00004F57">
              <w:rPr>
                <w:color w:val="auto"/>
                <w:lang w:val="uk-UA"/>
              </w:rPr>
              <w:t>power</w:t>
            </w:r>
            <w:proofErr w:type="spellEnd"/>
            <w:r w:rsidRPr="00004F57">
              <w:rPr>
                <w:color w:val="auto"/>
                <w:lang w:val="uk-UA"/>
              </w:rPr>
              <w:t xml:space="preserve"> </w:t>
            </w:r>
            <w:proofErr w:type="spellStart"/>
            <w:r w:rsidRPr="00004F57">
              <w:rPr>
                <w:color w:val="auto"/>
                <w:lang w:val="uk-UA"/>
              </w:rPr>
              <w:t>supply</w:t>
            </w:r>
            <w:proofErr w:type="spellEnd"/>
            <w:r w:rsidRPr="00004F57">
              <w:rPr>
                <w:color w:val="auto"/>
                <w:lang w:val="uk-UA"/>
              </w:rPr>
              <w:t xml:space="preserve"> </w:t>
            </w:r>
            <w:proofErr w:type="spellStart"/>
            <w:r w:rsidRPr="00004F57">
              <w:rPr>
                <w:color w:val="auto"/>
                <w:lang w:val="uk-UA"/>
              </w:rPr>
              <w:t>agreement</w:t>
            </w:r>
            <w:proofErr w:type="spellEnd"/>
            <w:r w:rsidRPr="00004F57">
              <w:rPr>
                <w:color w:val="auto"/>
                <w:lang w:val="uk-UA"/>
              </w:rPr>
              <w:t xml:space="preserve">,” </w:t>
            </w:r>
            <w:proofErr w:type="spellStart"/>
            <w:r w:rsidRPr="00004F57">
              <w:rPr>
                <w:color w:val="auto"/>
                <w:lang w:val="uk-UA"/>
              </w:rPr>
              <w:t>letter</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276/26/47-14 </w:t>
            </w:r>
            <w:proofErr w:type="spellStart"/>
            <w:r w:rsidRPr="00004F57">
              <w:rPr>
                <w:color w:val="auto"/>
                <w:lang w:val="uk-UA"/>
              </w:rPr>
              <w:t>dated</w:t>
            </w:r>
            <w:proofErr w:type="spellEnd"/>
            <w:r w:rsidRPr="00004F57">
              <w:rPr>
                <w:color w:val="auto"/>
                <w:lang w:val="uk-UA"/>
              </w:rPr>
              <w:t xml:space="preserve"> 16.01.2014 </w:t>
            </w:r>
          </w:p>
          <w:p w:rsidR="00004F57" w:rsidRPr="00004F57" w:rsidRDefault="00004F57" w:rsidP="00B977F5">
            <w:pPr>
              <w:pStyle w:val="story"/>
              <w:spacing w:after="0" w:afterAutospacing="0"/>
              <w:ind w:left="284" w:hanging="284"/>
              <w:jc w:val="both"/>
              <w:rPr>
                <w:rFonts w:asciiTheme="minorHAnsi" w:eastAsia="Batang" w:hAnsiTheme="minorHAnsi"/>
                <w:bCs/>
                <w:color w:val="auto"/>
                <w:kern w:val="32"/>
                <w:sz w:val="32"/>
                <w:szCs w:val="28"/>
                <w:lang w:val="uk-UA" w:eastAsia="ko-KR"/>
              </w:rPr>
            </w:pPr>
            <w:r w:rsidRPr="00004F57">
              <w:rPr>
                <w:rFonts w:asciiTheme="minorHAnsi" w:eastAsia="Batang" w:hAnsiTheme="minorHAnsi"/>
                <w:bCs/>
                <w:color w:val="auto"/>
                <w:kern w:val="32"/>
                <w:sz w:val="32"/>
                <w:szCs w:val="28"/>
                <w:lang w:val="uk-UA" w:eastAsia="ko-KR"/>
              </w:rPr>
              <w:lastRenderedPageBreak/>
              <w:t>LAND LEGISLATION</w:t>
            </w:r>
          </w:p>
          <w:p w:rsidR="00004F57" w:rsidRPr="00004F57" w:rsidRDefault="00004F57" w:rsidP="00B977F5">
            <w:pPr>
              <w:pStyle w:val="Bullet"/>
              <w:spacing w:after="0"/>
              <w:jc w:val="both"/>
              <w:rPr>
                <w:color w:val="auto"/>
                <w:lang w:val="uk-UA"/>
              </w:rPr>
            </w:pPr>
            <w:proofErr w:type="spellStart"/>
            <w:r w:rsidRPr="00004F57">
              <w:rPr>
                <w:color w:val="auto"/>
                <w:lang w:val="uk-UA"/>
              </w:rPr>
              <w:t>Order</w:t>
            </w:r>
            <w:proofErr w:type="spellEnd"/>
            <w:r w:rsidRPr="00004F57">
              <w:rPr>
                <w:color w:val="auto"/>
                <w:lang w:val="uk-UA"/>
              </w:rPr>
              <w:t xml:space="preserve"> </w:t>
            </w:r>
            <w:proofErr w:type="spellStart"/>
            <w:r w:rsidRPr="00004F57">
              <w:rPr>
                <w:color w:val="auto"/>
                <w:lang w:val="uk-UA"/>
              </w:rPr>
              <w:t>No</w:t>
            </w:r>
            <w:proofErr w:type="spellEnd"/>
            <w:r w:rsidRPr="00004F57">
              <w:rPr>
                <w:color w:val="auto"/>
                <w:lang w:val="uk-UA"/>
              </w:rPr>
              <w:t xml:space="preserve">. 94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State</w:t>
            </w:r>
            <w:proofErr w:type="spellEnd"/>
            <w:r w:rsidRPr="00004F57">
              <w:rPr>
                <w:color w:val="auto"/>
                <w:lang w:val="uk-UA"/>
              </w:rPr>
              <w:t xml:space="preserve"> </w:t>
            </w:r>
            <w:proofErr w:type="spellStart"/>
            <w:r w:rsidRPr="00004F57">
              <w:rPr>
                <w:color w:val="auto"/>
                <w:lang w:val="uk-UA"/>
              </w:rPr>
              <w:t>Agency</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Land</w:t>
            </w:r>
            <w:proofErr w:type="spellEnd"/>
            <w:r w:rsidRPr="00004F57">
              <w:rPr>
                <w:color w:val="auto"/>
                <w:lang w:val="uk-UA"/>
              </w:rPr>
              <w:t xml:space="preserve"> </w:t>
            </w:r>
            <w:proofErr w:type="spellStart"/>
            <w:r w:rsidRPr="00004F57">
              <w:rPr>
                <w:color w:val="auto"/>
                <w:lang w:val="uk-UA"/>
              </w:rPr>
              <w:t>Resources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dated</w:t>
            </w:r>
            <w:proofErr w:type="spellEnd"/>
            <w:r w:rsidRPr="00004F57">
              <w:rPr>
                <w:color w:val="auto"/>
                <w:lang w:val="uk-UA"/>
              </w:rPr>
              <w:t xml:space="preserve"> 27.03.2014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Amendments</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Some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Orders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hyperlink r:id="rId6" w:history="1">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State</w:t>
              </w:r>
              <w:proofErr w:type="spellEnd"/>
              <w:r w:rsidRPr="00004F57">
                <w:rPr>
                  <w:color w:val="auto"/>
                  <w:lang w:val="uk-UA"/>
                </w:rPr>
                <w:t xml:space="preserve"> </w:t>
              </w:r>
              <w:proofErr w:type="spellStart"/>
              <w:r w:rsidRPr="00004F57">
                <w:rPr>
                  <w:color w:val="auto"/>
                  <w:lang w:val="uk-UA"/>
                </w:rPr>
                <w:t>Agency</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Land</w:t>
              </w:r>
              <w:proofErr w:type="spellEnd"/>
              <w:r w:rsidRPr="00004F57">
                <w:rPr>
                  <w:color w:val="auto"/>
                  <w:lang w:val="uk-UA"/>
                </w:rPr>
                <w:t xml:space="preserve"> </w:t>
              </w:r>
              <w:proofErr w:type="spellStart"/>
              <w:r w:rsidRPr="00004F57">
                <w:rPr>
                  <w:color w:val="auto"/>
                  <w:lang w:val="uk-UA"/>
                </w:rPr>
                <w:t>Resources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hyperlink>
            <w:r w:rsidRPr="00004F57">
              <w:rPr>
                <w:color w:val="auto"/>
                <w:lang w:val="uk-UA"/>
              </w:rPr>
              <w:t xml:space="preserve">,” </w:t>
            </w:r>
            <w:proofErr w:type="spellStart"/>
            <w:r w:rsidRPr="00004F57">
              <w:rPr>
                <w:color w:val="auto"/>
                <w:lang w:val="uk-UA"/>
              </w:rPr>
              <w:t>revoked</w:t>
            </w:r>
            <w:proofErr w:type="spellEnd"/>
            <w:r w:rsidRPr="00004F57">
              <w:rPr>
                <w:color w:val="auto"/>
                <w:lang w:val="uk-UA"/>
              </w:rPr>
              <w:t>:</w:t>
            </w:r>
          </w:p>
          <w:p w:rsidR="00004F57" w:rsidRPr="00B977F5" w:rsidRDefault="00004F57" w:rsidP="00B977F5">
            <w:pPr>
              <w:pStyle w:val="Bullet"/>
              <w:numPr>
                <w:ilvl w:val="0"/>
                <w:numId w:val="9"/>
              </w:numPr>
              <w:spacing w:after="0"/>
              <w:ind w:left="426"/>
              <w:jc w:val="both"/>
              <w:rPr>
                <w:color w:val="auto"/>
                <w:lang w:val="uk-UA"/>
              </w:rPr>
            </w:pPr>
            <w:proofErr w:type="spellStart"/>
            <w:r w:rsidRPr="00004F57">
              <w:rPr>
                <w:color w:val="auto"/>
                <w:lang w:val="uk-UA"/>
              </w:rPr>
              <w:t>Methodological</w:t>
            </w:r>
            <w:proofErr w:type="spellEnd"/>
            <w:r w:rsidRPr="00004F57">
              <w:rPr>
                <w:color w:val="auto"/>
                <w:lang w:val="uk-UA"/>
              </w:rPr>
              <w:t xml:space="preserve"> </w:t>
            </w:r>
            <w:proofErr w:type="spellStart"/>
            <w:r w:rsidRPr="00004F57">
              <w:rPr>
                <w:color w:val="auto"/>
                <w:lang w:val="uk-UA"/>
              </w:rPr>
              <w:t>recommendations</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exercise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powers</w:t>
            </w:r>
            <w:proofErr w:type="spellEnd"/>
            <w:r w:rsidRPr="00004F57">
              <w:rPr>
                <w:color w:val="auto"/>
                <w:lang w:val="uk-UA"/>
              </w:rPr>
              <w:t xml:space="preserve"> </w:t>
            </w:r>
            <w:proofErr w:type="spellStart"/>
            <w:r w:rsidRPr="00004F57">
              <w:rPr>
                <w:color w:val="auto"/>
                <w:lang w:val="uk-UA"/>
              </w:rPr>
              <w:t>by</w:t>
            </w:r>
            <w:proofErr w:type="spellEnd"/>
            <w:r w:rsidRPr="00004F57">
              <w:rPr>
                <w:color w:val="auto"/>
                <w:lang w:val="uk-UA"/>
              </w:rPr>
              <w:t xml:space="preserve"> </w:t>
            </w:r>
            <w:proofErr w:type="spellStart"/>
            <w:r w:rsidRPr="00004F57">
              <w:rPr>
                <w:color w:val="auto"/>
                <w:lang w:val="uk-UA"/>
              </w:rPr>
              <w:t>main</w:t>
            </w:r>
            <w:proofErr w:type="spellEnd"/>
            <w:r w:rsidRPr="00004F57">
              <w:rPr>
                <w:color w:val="auto"/>
                <w:lang w:val="uk-UA"/>
              </w:rPr>
              <w:t xml:space="preserve"> </w:t>
            </w:r>
            <w:proofErr w:type="spellStart"/>
            <w:r w:rsidRPr="00004F57">
              <w:rPr>
                <w:color w:val="auto"/>
                <w:lang w:val="uk-UA"/>
              </w:rPr>
              <w:t>branches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hyperlink r:id="rId7" w:history="1">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State</w:t>
              </w:r>
              <w:proofErr w:type="spellEnd"/>
              <w:r w:rsidRPr="00004F57">
                <w:rPr>
                  <w:color w:val="auto"/>
                  <w:lang w:val="uk-UA"/>
                </w:rPr>
                <w:t xml:space="preserve"> </w:t>
              </w:r>
              <w:proofErr w:type="spellStart"/>
              <w:r w:rsidRPr="00004F57">
                <w:rPr>
                  <w:color w:val="auto"/>
                  <w:lang w:val="uk-UA"/>
                </w:rPr>
                <w:t>Agency</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Land</w:t>
              </w:r>
              <w:proofErr w:type="spellEnd"/>
              <w:r w:rsidRPr="00004F57">
                <w:rPr>
                  <w:color w:val="auto"/>
                  <w:lang w:val="uk-UA"/>
                </w:rPr>
                <w:t xml:space="preserve"> </w:t>
              </w:r>
              <w:proofErr w:type="spellStart"/>
              <w:r w:rsidRPr="00004F57">
                <w:rPr>
                  <w:color w:val="auto"/>
                  <w:lang w:val="uk-UA"/>
                </w:rPr>
                <w:t>Resources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hyperlink>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regions</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cities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Kyiv</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Sebastopol</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w:t>
            </w:r>
            <w:proofErr w:type="spellStart"/>
            <w:r w:rsidRPr="00004F57">
              <w:rPr>
                <w:color w:val="auto"/>
                <w:lang w:val="uk-UA"/>
              </w:rPr>
              <w:t>respect</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transfer</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state</w:t>
            </w:r>
            <w:proofErr w:type="spellEnd"/>
            <w:r w:rsidRPr="00004F57">
              <w:rPr>
                <w:color w:val="auto"/>
                <w:lang w:val="uk-UA"/>
              </w:rPr>
              <w:t xml:space="preserve"> </w:t>
            </w:r>
            <w:proofErr w:type="spellStart"/>
            <w:r w:rsidRPr="00004F57">
              <w:rPr>
                <w:color w:val="auto"/>
                <w:lang w:val="uk-UA"/>
              </w:rPr>
              <w:t>owned</w:t>
            </w:r>
            <w:proofErr w:type="spellEnd"/>
            <w:r w:rsidRPr="00004F57">
              <w:rPr>
                <w:color w:val="auto"/>
                <w:lang w:val="uk-UA"/>
              </w:rPr>
              <w:t xml:space="preserve"> </w:t>
            </w:r>
            <w:proofErr w:type="spellStart"/>
            <w:r w:rsidRPr="00004F57">
              <w:rPr>
                <w:color w:val="auto"/>
                <w:lang w:val="uk-UA"/>
              </w:rPr>
              <w:t>agricultural</w:t>
            </w:r>
            <w:proofErr w:type="spellEnd"/>
            <w:r w:rsidRPr="00004F57">
              <w:rPr>
                <w:color w:val="auto"/>
                <w:lang w:val="uk-UA"/>
              </w:rPr>
              <w:t xml:space="preserve"> </w:t>
            </w:r>
            <w:proofErr w:type="spellStart"/>
            <w:r w:rsidRPr="00004F57">
              <w:rPr>
                <w:color w:val="auto"/>
                <w:lang w:val="uk-UA"/>
              </w:rPr>
              <w:t>land</w:t>
            </w:r>
            <w:proofErr w:type="spellEnd"/>
            <w:r w:rsidRPr="00004F57">
              <w:rPr>
                <w:color w:val="auto"/>
                <w:lang w:val="uk-UA"/>
              </w:rPr>
              <w:t xml:space="preserve"> </w:t>
            </w:r>
            <w:proofErr w:type="spellStart"/>
            <w:r w:rsidRPr="00004F57">
              <w:rPr>
                <w:color w:val="auto"/>
                <w:lang w:val="uk-UA"/>
              </w:rPr>
              <w:t>plots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possession</w:t>
            </w:r>
            <w:proofErr w:type="spellEnd"/>
            <w:r w:rsidRPr="00004F57">
              <w:rPr>
                <w:color w:val="auto"/>
                <w:lang w:val="uk-UA"/>
              </w:rPr>
              <w:t xml:space="preserve"> </w:t>
            </w:r>
            <w:proofErr w:type="spellStart"/>
            <w:r w:rsidRPr="00004F57">
              <w:rPr>
                <w:color w:val="auto"/>
                <w:lang w:val="uk-UA"/>
              </w:rPr>
              <w:t>or</w:t>
            </w:r>
            <w:proofErr w:type="spellEnd"/>
            <w:r w:rsidRPr="00004F57">
              <w:rPr>
                <w:color w:val="auto"/>
                <w:lang w:val="uk-UA"/>
              </w:rPr>
              <w:t xml:space="preserve"> </w:t>
            </w:r>
            <w:proofErr w:type="spellStart"/>
            <w:r w:rsidRPr="00004F57">
              <w:rPr>
                <w:color w:val="auto"/>
                <w:lang w:val="uk-UA"/>
              </w:rPr>
              <w:t>use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noncompetitive</w:t>
            </w:r>
            <w:proofErr w:type="spellEnd"/>
            <w:r w:rsidRPr="00004F57">
              <w:rPr>
                <w:color w:val="auto"/>
                <w:lang w:val="uk-UA"/>
              </w:rPr>
              <w:t xml:space="preserve"> </w:t>
            </w:r>
            <w:proofErr w:type="spellStart"/>
            <w:r w:rsidRPr="00004F57">
              <w:rPr>
                <w:color w:val="auto"/>
                <w:lang w:val="uk-UA"/>
              </w:rPr>
              <w:t>terms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all</w:t>
            </w:r>
            <w:proofErr w:type="spellEnd"/>
            <w:r w:rsidRPr="00004F57">
              <w:rPr>
                <w:color w:val="auto"/>
                <w:lang w:val="uk-UA"/>
              </w:rPr>
              <w:t xml:space="preserve"> </w:t>
            </w:r>
            <w:proofErr w:type="spellStart"/>
            <w:r w:rsidRPr="00004F57">
              <w:rPr>
                <w:color w:val="auto"/>
                <w:lang w:val="uk-UA"/>
              </w:rPr>
              <w:t>purposes</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
          <w:p w:rsidR="00B977F5" w:rsidRPr="00004F57" w:rsidRDefault="00B977F5" w:rsidP="00B977F5">
            <w:pPr>
              <w:pStyle w:val="Bullet"/>
              <w:numPr>
                <w:ilvl w:val="0"/>
                <w:numId w:val="0"/>
              </w:numPr>
              <w:spacing w:after="0"/>
              <w:ind w:left="426"/>
              <w:jc w:val="both"/>
              <w:rPr>
                <w:color w:val="auto"/>
                <w:lang w:val="uk-UA"/>
              </w:rPr>
            </w:pPr>
          </w:p>
          <w:p w:rsidR="00004F57" w:rsidRPr="00004F57" w:rsidRDefault="00004F57" w:rsidP="00B977F5">
            <w:pPr>
              <w:pStyle w:val="Bullet"/>
              <w:numPr>
                <w:ilvl w:val="0"/>
                <w:numId w:val="9"/>
              </w:numPr>
              <w:ind w:left="426" w:hanging="357"/>
              <w:jc w:val="both"/>
              <w:rPr>
                <w:color w:val="auto"/>
                <w:lang w:val="uk-UA"/>
              </w:rPr>
            </w:pPr>
            <w:proofErr w:type="spellStart"/>
            <w:r w:rsidRPr="00004F57">
              <w:rPr>
                <w:color w:val="auto"/>
                <w:lang w:val="uk-UA"/>
              </w:rPr>
              <w:t>Methodological</w:t>
            </w:r>
            <w:proofErr w:type="spellEnd"/>
            <w:r w:rsidRPr="00004F57">
              <w:rPr>
                <w:color w:val="auto"/>
                <w:lang w:val="uk-UA"/>
              </w:rPr>
              <w:t xml:space="preserve"> </w:t>
            </w:r>
            <w:proofErr w:type="spellStart"/>
            <w:r w:rsidRPr="00004F57">
              <w:rPr>
                <w:color w:val="auto"/>
                <w:lang w:val="uk-UA"/>
              </w:rPr>
              <w:t>recommendations</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procedure</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exercise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powers</w:t>
            </w:r>
            <w:proofErr w:type="spellEnd"/>
            <w:r w:rsidRPr="00004F57">
              <w:rPr>
                <w:color w:val="auto"/>
                <w:lang w:val="uk-UA"/>
              </w:rPr>
              <w:t xml:space="preserve"> </w:t>
            </w:r>
            <w:proofErr w:type="spellStart"/>
            <w:r w:rsidRPr="00004F57">
              <w:rPr>
                <w:color w:val="auto"/>
                <w:lang w:val="uk-UA"/>
              </w:rPr>
              <w:t>by</w:t>
            </w:r>
            <w:proofErr w:type="spellEnd"/>
            <w:r w:rsidRPr="00004F57">
              <w:rPr>
                <w:color w:val="auto"/>
                <w:lang w:val="uk-UA"/>
              </w:rPr>
              <w:t xml:space="preserve"> </w:t>
            </w:r>
            <w:proofErr w:type="spellStart"/>
            <w:r w:rsidRPr="00004F57">
              <w:rPr>
                <w:color w:val="auto"/>
                <w:lang w:val="uk-UA"/>
              </w:rPr>
              <w:t>main</w:t>
            </w:r>
            <w:proofErr w:type="spellEnd"/>
            <w:r w:rsidRPr="00004F57">
              <w:rPr>
                <w:color w:val="auto"/>
                <w:lang w:val="uk-UA"/>
              </w:rPr>
              <w:t xml:space="preserve"> </w:t>
            </w:r>
            <w:proofErr w:type="spellStart"/>
            <w:r w:rsidRPr="00004F57">
              <w:rPr>
                <w:color w:val="auto"/>
                <w:lang w:val="uk-UA"/>
              </w:rPr>
              <w:t>branches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hyperlink r:id="rId8" w:history="1">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State</w:t>
              </w:r>
              <w:proofErr w:type="spellEnd"/>
              <w:r w:rsidRPr="00004F57">
                <w:rPr>
                  <w:color w:val="auto"/>
                  <w:lang w:val="uk-UA"/>
                </w:rPr>
                <w:t xml:space="preserve"> </w:t>
              </w:r>
              <w:proofErr w:type="spellStart"/>
              <w:r w:rsidRPr="00004F57">
                <w:rPr>
                  <w:color w:val="auto"/>
                  <w:lang w:val="uk-UA"/>
                </w:rPr>
                <w:t>Agency</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Land</w:t>
              </w:r>
              <w:proofErr w:type="spellEnd"/>
              <w:r w:rsidRPr="00004F57">
                <w:rPr>
                  <w:color w:val="auto"/>
                  <w:lang w:val="uk-UA"/>
                </w:rPr>
                <w:t xml:space="preserve"> </w:t>
              </w:r>
              <w:proofErr w:type="spellStart"/>
              <w:r w:rsidRPr="00004F57">
                <w:rPr>
                  <w:color w:val="auto"/>
                  <w:lang w:val="uk-UA"/>
                </w:rPr>
                <w:t>Resources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hyperlink>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regions</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cities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Kyiv</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Sebastopol</w:t>
            </w:r>
            <w:proofErr w:type="spellEnd"/>
            <w:r w:rsidRPr="00004F57">
              <w:rPr>
                <w:color w:val="auto"/>
                <w:lang w:val="uk-UA"/>
              </w:rPr>
              <w:t xml:space="preserve"> </w:t>
            </w:r>
            <w:proofErr w:type="spellStart"/>
            <w:r w:rsidRPr="00004F57">
              <w:rPr>
                <w:color w:val="auto"/>
                <w:lang w:val="uk-UA"/>
              </w:rPr>
              <w:t>with</w:t>
            </w:r>
            <w:proofErr w:type="spellEnd"/>
            <w:r w:rsidRPr="00004F57">
              <w:rPr>
                <w:color w:val="auto"/>
                <w:lang w:val="uk-UA"/>
              </w:rPr>
              <w:t xml:space="preserve"> </w:t>
            </w:r>
            <w:proofErr w:type="spellStart"/>
            <w:r w:rsidRPr="00004F57">
              <w:rPr>
                <w:color w:val="auto"/>
                <w:lang w:val="uk-UA"/>
              </w:rPr>
              <w:t>respect</w:t>
            </w:r>
            <w:proofErr w:type="spellEnd"/>
            <w:r w:rsidRPr="00004F57">
              <w:rPr>
                <w:color w:val="auto"/>
                <w:lang w:val="uk-UA"/>
              </w:rPr>
              <w:t xml:space="preserve"> </w:t>
            </w:r>
            <w:proofErr w:type="spellStart"/>
            <w:r w:rsidRPr="00004F57">
              <w:rPr>
                <w:color w:val="auto"/>
                <w:lang w:val="uk-UA"/>
              </w:rPr>
              <w:t>to</w:t>
            </w:r>
            <w:proofErr w:type="spellEnd"/>
            <w:r w:rsidRPr="00004F57">
              <w:rPr>
                <w:color w:val="auto"/>
                <w:lang w:val="uk-UA"/>
              </w:rPr>
              <w:t xml:space="preserve"> </w:t>
            </w:r>
            <w:proofErr w:type="spellStart"/>
            <w:r w:rsidRPr="00004F57">
              <w:rPr>
                <w:color w:val="auto"/>
                <w:lang w:val="uk-UA"/>
              </w:rPr>
              <w:t>renewing</w:t>
            </w:r>
            <w:proofErr w:type="spellEnd"/>
            <w:r w:rsidRPr="00004F57">
              <w:rPr>
                <w:color w:val="auto"/>
                <w:lang w:val="uk-UA"/>
              </w:rPr>
              <w:t xml:space="preserve"> </w:t>
            </w:r>
            <w:proofErr w:type="spellStart"/>
            <w:r w:rsidRPr="00004F57">
              <w:rPr>
                <w:color w:val="auto"/>
                <w:lang w:val="uk-UA"/>
              </w:rPr>
              <w:t>agreements</w:t>
            </w:r>
            <w:proofErr w:type="spellEnd"/>
            <w:r w:rsidRPr="00004F57">
              <w:rPr>
                <w:color w:val="auto"/>
                <w:lang w:val="uk-UA"/>
              </w:rPr>
              <w:t xml:space="preserve"> </w:t>
            </w:r>
            <w:proofErr w:type="spellStart"/>
            <w:r w:rsidRPr="00004F57">
              <w:rPr>
                <w:color w:val="auto"/>
                <w:lang w:val="uk-UA"/>
              </w:rPr>
              <w:t>for</w:t>
            </w:r>
            <w:proofErr w:type="spellEnd"/>
            <w:r w:rsidRPr="00004F57">
              <w:rPr>
                <w:color w:val="auto"/>
                <w:lang w:val="uk-UA"/>
              </w:rPr>
              <w:t xml:space="preserve"> </w:t>
            </w:r>
            <w:proofErr w:type="spellStart"/>
            <w:r w:rsidRPr="00004F57">
              <w:rPr>
                <w:color w:val="auto"/>
                <w:lang w:val="uk-UA"/>
              </w:rPr>
              <w:t>lease</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state</w:t>
            </w:r>
            <w:proofErr w:type="spellEnd"/>
            <w:r w:rsidRPr="00004F57">
              <w:rPr>
                <w:color w:val="auto"/>
                <w:lang w:val="uk-UA"/>
              </w:rPr>
              <w:t xml:space="preserve"> </w:t>
            </w:r>
            <w:proofErr w:type="spellStart"/>
            <w:r w:rsidRPr="00004F57">
              <w:rPr>
                <w:color w:val="auto"/>
                <w:lang w:val="uk-UA"/>
              </w:rPr>
              <w:t>owned</w:t>
            </w:r>
            <w:proofErr w:type="spellEnd"/>
            <w:r w:rsidRPr="00004F57">
              <w:rPr>
                <w:color w:val="auto"/>
                <w:lang w:val="uk-UA"/>
              </w:rPr>
              <w:t xml:space="preserve"> </w:t>
            </w:r>
            <w:proofErr w:type="spellStart"/>
            <w:r w:rsidRPr="00004F57">
              <w:rPr>
                <w:color w:val="auto"/>
                <w:lang w:val="uk-UA"/>
              </w:rPr>
              <w:t>agricultural</w:t>
            </w:r>
            <w:proofErr w:type="spellEnd"/>
            <w:r w:rsidRPr="00004F57">
              <w:rPr>
                <w:color w:val="auto"/>
                <w:lang w:val="uk-UA"/>
              </w:rPr>
              <w:t xml:space="preserve"> </w:t>
            </w:r>
            <w:proofErr w:type="spellStart"/>
            <w:r w:rsidRPr="00004F57">
              <w:rPr>
                <w:color w:val="auto"/>
                <w:lang w:val="uk-UA"/>
              </w:rPr>
              <w:t>land</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w:t>
            </w:r>
            <w:proofErr w:type="spellStart"/>
            <w:r w:rsidRPr="00004F57">
              <w:rPr>
                <w:color w:val="auto"/>
                <w:lang w:val="uk-UA"/>
              </w:rPr>
              <w:t>or</w:t>
            </w:r>
            <w:proofErr w:type="spellEnd"/>
            <w:r w:rsidRPr="00004F57">
              <w:rPr>
                <w:color w:val="auto"/>
                <w:lang w:val="uk-UA"/>
              </w:rPr>
              <w:t xml:space="preserve"> </w:t>
            </w:r>
            <w:proofErr w:type="spellStart"/>
            <w:r w:rsidRPr="00004F57">
              <w:rPr>
                <w:color w:val="auto"/>
                <w:lang w:val="uk-UA"/>
              </w:rPr>
              <w:t>introducing</w:t>
            </w:r>
            <w:proofErr w:type="spellEnd"/>
            <w:r w:rsidRPr="00004F57">
              <w:rPr>
                <w:color w:val="auto"/>
                <w:lang w:val="uk-UA"/>
              </w:rPr>
              <w:t xml:space="preserve"> </w:t>
            </w:r>
            <w:proofErr w:type="spellStart"/>
            <w:r w:rsidRPr="00004F57">
              <w:rPr>
                <w:color w:val="auto"/>
                <w:lang w:val="uk-UA"/>
              </w:rPr>
              <w:t>amendments</w:t>
            </w:r>
            <w:proofErr w:type="spellEnd"/>
            <w:r w:rsidRPr="00004F57">
              <w:rPr>
                <w:color w:val="auto"/>
                <w:lang w:val="uk-UA"/>
              </w:rPr>
              <w:t xml:space="preserve"> </w:t>
            </w:r>
            <w:proofErr w:type="spellStart"/>
            <w:r w:rsidRPr="00004F57">
              <w:rPr>
                <w:color w:val="auto"/>
                <w:lang w:val="uk-UA"/>
              </w:rPr>
              <w:t>thereto</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new</w:t>
            </w:r>
            <w:proofErr w:type="spellEnd"/>
            <w:r w:rsidRPr="00004F57">
              <w:rPr>
                <w:color w:val="auto"/>
                <w:lang w:val="uk-UA"/>
              </w:rPr>
              <w:t xml:space="preserve"> </w:t>
            </w:r>
            <w:proofErr w:type="spellStart"/>
            <w:r w:rsidRPr="00004F57">
              <w:rPr>
                <w:color w:val="auto"/>
                <w:lang w:val="uk-UA"/>
              </w:rPr>
              <w:t>wording</w:t>
            </w:r>
            <w:proofErr w:type="spellEnd"/>
            <w:r w:rsidRPr="00004F57">
              <w:rPr>
                <w:color w:val="auto"/>
                <w:lang w:val="uk-UA"/>
              </w:rPr>
              <w:t xml:space="preserve">.  </w:t>
            </w:r>
          </w:p>
          <w:p w:rsidR="00004F57" w:rsidRPr="00004F57" w:rsidRDefault="00004F57" w:rsidP="00B977F5">
            <w:pPr>
              <w:pStyle w:val="story"/>
              <w:spacing w:after="0" w:afterAutospacing="0"/>
              <w:ind w:left="284" w:hanging="284"/>
              <w:jc w:val="both"/>
              <w:rPr>
                <w:rFonts w:asciiTheme="minorHAnsi" w:eastAsia="Batang" w:hAnsiTheme="minorHAnsi"/>
                <w:bCs/>
                <w:color w:val="auto"/>
                <w:kern w:val="32"/>
                <w:sz w:val="32"/>
                <w:szCs w:val="28"/>
                <w:lang w:val="uk-UA" w:eastAsia="ko-KR"/>
              </w:rPr>
            </w:pPr>
            <w:r w:rsidRPr="00004F57">
              <w:rPr>
                <w:rFonts w:asciiTheme="minorHAnsi" w:eastAsia="Batang" w:hAnsiTheme="minorHAnsi"/>
                <w:bCs/>
                <w:color w:val="auto"/>
                <w:kern w:val="32"/>
                <w:sz w:val="32"/>
                <w:szCs w:val="28"/>
                <w:lang w:val="uk-UA" w:eastAsia="ko-KR"/>
              </w:rPr>
              <w:t>DEREGULATION</w:t>
            </w:r>
          </w:p>
          <w:p w:rsidR="00004F57" w:rsidRPr="00004F57" w:rsidRDefault="00004F57" w:rsidP="00B977F5">
            <w:pPr>
              <w:pStyle w:val="Bullet"/>
              <w:spacing w:after="0"/>
              <w:jc w:val="both"/>
              <w:rPr>
                <w:color w:val="auto"/>
                <w:lang w:val="uk-UA"/>
              </w:rPr>
            </w:pP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Verkhovna</w:t>
            </w:r>
            <w:proofErr w:type="spellEnd"/>
            <w:r w:rsidRPr="00004F57">
              <w:rPr>
                <w:color w:val="auto"/>
                <w:lang w:val="uk-UA"/>
              </w:rPr>
              <w:t xml:space="preserve"> </w:t>
            </w:r>
            <w:proofErr w:type="spellStart"/>
            <w:r w:rsidRPr="00004F57">
              <w:rPr>
                <w:color w:val="auto"/>
                <w:lang w:val="uk-UA"/>
              </w:rPr>
              <w:t>Rada</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proofErr w:type="spellStart"/>
            <w:r w:rsidRPr="00004F57">
              <w:rPr>
                <w:color w:val="auto"/>
                <w:lang w:val="uk-UA"/>
              </w:rPr>
              <w:t>adopted</w:t>
            </w:r>
            <w:proofErr w:type="spellEnd"/>
            <w:r w:rsidRPr="00004F57">
              <w:rPr>
                <w:color w:val="auto"/>
                <w:lang w:val="uk-UA"/>
              </w:rPr>
              <w:t xml:space="preserve"> </w:t>
            </w:r>
            <w:proofErr w:type="spellStart"/>
            <w:r w:rsidRPr="00004F57">
              <w:rPr>
                <w:color w:val="auto"/>
                <w:lang w:val="uk-UA"/>
              </w:rPr>
              <w:t>Law</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Ukraine</w:t>
            </w:r>
            <w:proofErr w:type="spellEnd"/>
            <w:r w:rsidRPr="00004F57">
              <w:rPr>
                <w:color w:val="auto"/>
                <w:lang w:val="uk-UA"/>
              </w:rPr>
              <w:t xml:space="preserve"> </w:t>
            </w:r>
            <w:bookmarkStart w:id="1" w:name="n3"/>
            <w:bookmarkEnd w:id="1"/>
            <w:proofErr w:type="spellStart"/>
            <w:r w:rsidRPr="00004F57">
              <w:rPr>
                <w:color w:val="auto"/>
                <w:lang w:val="uk-UA"/>
              </w:rPr>
              <w:t>No</w:t>
            </w:r>
            <w:proofErr w:type="spellEnd"/>
            <w:r w:rsidRPr="00004F57">
              <w:rPr>
                <w:color w:val="auto"/>
                <w:lang w:val="uk-UA"/>
              </w:rPr>
              <w:t xml:space="preserve">. </w:t>
            </w:r>
            <w:r w:rsidRPr="00004F57">
              <w:rPr>
                <w:color w:val="auto"/>
              </w:rPr>
              <w:t>1193-VII</w:t>
            </w:r>
            <w:r w:rsidRPr="00004F57">
              <w:rPr>
                <w:color w:val="auto"/>
                <w:lang w:val="uk-UA"/>
              </w:rPr>
              <w:t xml:space="preserve"> “</w:t>
            </w:r>
            <w:proofErr w:type="spellStart"/>
            <w:r w:rsidRPr="00004F57">
              <w:rPr>
                <w:color w:val="auto"/>
                <w:lang w:val="uk-UA"/>
              </w:rPr>
              <w:t>On</w:t>
            </w:r>
            <w:proofErr w:type="spellEnd"/>
            <w:r w:rsidRPr="00004F57">
              <w:rPr>
                <w:color w:val="auto"/>
              </w:rPr>
              <w:t xml:space="preserve"> </w:t>
            </w:r>
            <w:proofErr w:type="spellStart"/>
            <w:r w:rsidRPr="00004F57">
              <w:rPr>
                <w:color w:val="auto"/>
                <w:lang w:val="uk-UA"/>
              </w:rPr>
              <w:t>Introduction</w:t>
            </w:r>
            <w:proofErr w:type="spellEnd"/>
            <w:r w:rsidRPr="00004F57">
              <w:rPr>
                <w:color w:val="auto"/>
              </w:rPr>
              <w:t xml:space="preserve"> </w:t>
            </w:r>
            <w:proofErr w:type="spellStart"/>
            <w:r w:rsidRPr="00004F57">
              <w:rPr>
                <w:color w:val="auto"/>
                <w:lang w:val="uk-UA"/>
              </w:rPr>
              <w:t>of</w:t>
            </w:r>
            <w:proofErr w:type="spellEnd"/>
            <w:r w:rsidRPr="00004F57">
              <w:rPr>
                <w:color w:val="auto"/>
              </w:rPr>
              <w:t xml:space="preserve"> </w:t>
            </w:r>
            <w:proofErr w:type="spellStart"/>
            <w:r w:rsidRPr="00004F57">
              <w:rPr>
                <w:color w:val="auto"/>
                <w:lang w:val="uk-UA"/>
              </w:rPr>
              <w:t>Changes</w:t>
            </w:r>
            <w:proofErr w:type="spellEnd"/>
            <w:r w:rsidRPr="00004F57">
              <w:rPr>
                <w:color w:val="auto"/>
              </w:rPr>
              <w:t xml:space="preserve"> </w:t>
            </w:r>
            <w:proofErr w:type="spellStart"/>
            <w:r w:rsidRPr="00004F57">
              <w:rPr>
                <w:color w:val="auto"/>
                <w:lang w:val="uk-UA"/>
              </w:rPr>
              <w:t>to</w:t>
            </w:r>
            <w:proofErr w:type="spellEnd"/>
            <w:r w:rsidRPr="00004F57">
              <w:rPr>
                <w:color w:val="auto"/>
              </w:rPr>
              <w:t xml:space="preserve"> </w:t>
            </w:r>
            <w:proofErr w:type="spellStart"/>
            <w:r w:rsidRPr="00004F57">
              <w:rPr>
                <w:color w:val="auto"/>
                <w:lang w:val="uk-UA"/>
              </w:rPr>
              <w:t>Some</w:t>
            </w:r>
            <w:proofErr w:type="spellEnd"/>
            <w:r w:rsidRPr="00004F57">
              <w:rPr>
                <w:color w:val="auto"/>
              </w:rPr>
              <w:t xml:space="preserve"> </w:t>
            </w:r>
            <w:proofErr w:type="spellStart"/>
            <w:r w:rsidRPr="00004F57">
              <w:rPr>
                <w:color w:val="auto"/>
                <w:lang w:val="uk-UA"/>
              </w:rPr>
              <w:t>the</w:t>
            </w:r>
            <w:proofErr w:type="spellEnd"/>
            <w:r w:rsidRPr="00004F57">
              <w:rPr>
                <w:color w:val="auto"/>
              </w:rPr>
              <w:t xml:space="preserve"> </w:t>
            </w:r>
            <w:proofErr w:type="spellStart"/>
            <w:r w:rsidRPr="00004F57">
              <w:rPr>
                <w:color w:val="auto"/>
                <w:lang w:val="uk-UA"/>
              </w:rPr>
              <w:t>Acts</w:t>
            </w:r>
            <w:proofErr w:type="spellEnd"/>
            <w:r w:rsidRPr="00004F57">
              <w:rPr>
                <w:color w:val="auto"/>
              </w:rPr>
              <w:t xml:space="preserve"> </w:t>
            </w:r>
            <w:proofErr w:type="spellStart"/>
            <w:r w:rsidRPr="00004F57">
              <w:rPr>
                <w:color w:val="auto"/>
                <w:lang w:val="uk-UA"/>
              </w:rPr>
              <w:t>of</w:t>
            </w:r>
            <w:proofErr w:type="spellEnd"/>
            <w:r w:rsidRPr="00004F57">
              <w:rPr>
                <w:color w:val="auto"/>
              </w:rPr>
              <w:t xml:space="preserve"> </w:t>
            </w:r>
            <w:proofErr w:type="spellStart"/>
            <w:r w:rsidRPr="00004F57">
              <w:rPr>
                <w:color w:val="auto"/>
                <w:lang w:val="uk-UA"/>
              </w:rPr>
              <w:t>Legislation</w:t>
            </w:r>
            <w:proofErr w:type="spellEnd"/>
            <w:r w:rsidRPr="00004F57">
              <w:rPr>
                <w:color w:val="auto"/>
              </w:rPr>
              <w:t xml:space="preserve"> </w:t>
            </w:r>
            <w:proofErr w:type="spellStart"/>
            <w:r w:rsidRPr="00004F57">
              <w:rPr>
                <w:color w:val="auto"/>
                <w:lang w:val="uk-UA"/>
              </w:rPr>
              <w:t>of</w:t>
            </w:r>
            <w:proofErr w:type="spellEnd"/>
            <w:r w:rsidRPr="00004F57">
              <w:rPr>
                <w:color w:val="auto"/>
              </w:rPr>
              <w:t xml:space="preserve"> </w:t>
            </w:r>
            <w:proofErr w:type="spellStart"/>
            <w:r w:rsidRPr="00004F57">
              <w:rPr>
                <w:color w:val="auto"/>
                <w:lang w:val="uk-UA"/>
              </w:rPr>
              <w:t>Ukraine</w:t>
            </w:r>
            <w:proofErr w:type="spellEnd"/>
            <w:r w:rsidRPr="00004F57">
              <w:rPr>
                <w:color w:val="auto"/>
              </w:rPr>
              <w:t xml:space="preserve"> </w:t>
            </w:r>
            <w:proofErr w:type="spellStart"/>
            <w:r w:rsidRPr="00004F57">
              <w:rPr>
                <w:color w:val="auto"/>
                <w:lang w:val="uk-UA"/>
              </w:rPr>
              <w:t>on</w:t>
            </w:r>
            <w:proofErr w:type="spellEnd"/>
            <w:r w:rsidRPr="00004F57">
              <w:rPr>
                <w:color w:val="auto"/>
              </w:rPr>
              <w:t xml:space="preserve"> </w:t>
            </w:r>
            <w:proofErr w:type="spellStart"/>
            <w:r w:rsidRPr="00004F57">
              <w:rPr>
                <w:color w:val="auto"/>
                <w:lang w:val="uk-UA"/>
              </w:rPr>
              <w:t>Reducing</w:t>
            </w:r>
            <w:proofErr w:type="spellEnd"/>
            <w:r w:rsidRPr="00004F57">
              <w:rPr>
                <w:color w:val="auto"/>
              </w:rPr>
              <w:t xml:space="preserve"> </w:t>
            </w:r>
            <w:proofErr w:type="spellStart"/>
            <w:r w:rsidRPr="00004F57">
              <w:rPr>
                <w:color w:val="auto"/>
                <w:lang w:val="uk-UA"/>
              </w:rPr>
              <w:t>the</w:t>
            </w:r>
            <w:proofErr w:type="spellEnd"/>
            <w:r w:rsidRPr="00004F57">
              <w:rPr>
                <w:color w:val="auto"/>
              </w:rPr>
              <w:t xml:space="preserve"> </w:t>
            </w:r>
            <w:proofErr w:type="spellStart"/>
            <w:r w:rsidRPr="00004F57">
              <w:rPr>
                <w:color w:val="auto"/>
                <w:lang w:val="uk-UA"/>
              </w:rPr>
              <w:t>Number</w:t>
            </w:r>
            <w:proofErr w:type="spellEnd"/>
            <w:r w:rsidRPr="00004F57">
              <w:rPr>
                <w:color w:val="auto"/>
              </w:rPr>
              <w:t xml:space="preserve"> </w:t>
            </w:r>
            <w:proofErr w:type="spellStart"/>
            <w:r w:rsidRPr="00004F57">
              <w:rPr>
                <w:color w:val="auto"/>
                <w:lang w:val="uk-UA"/>
              </w:rPr>
              <w:t>of</w:t>
            </w:r>
            <w:proofErr w:type="spellEnd"/>
            <w:r w:rsidRPr="00004F57">
              <w:rPr>
                <w:color w:val="auto"/>
              </w:rPr>
              <w:t xml:space="preserve"> </w:t>
            </w:r>
            <w:proofErr w:type="spellStart"/>
            <w:r w:rsidRPr="00004F57">
              <w:rPr>
                <w:color w:val="auto"/>
                <w:lang w:val="uk-UA"/>
              </w:rPr>
              <w:t>Authorization</w:t>
            </w:r>
            <w:proofErr w:type="spellEnd"/>
            <w:r w:rsidRPr="00004F57">
              <w:rPr>
                <w:color w:val="auto"/>
              </w:rPr>
              <w:t xml:space="preserve"> </w:t>
            </w:r>
            <w:proofErr w:type="spellStart"/>
            <w:r w:rsidRPr="00004F57">
              <w:rPr>
                <w:color w:val="auto"/>
                <w:lang w:val="uk-UA"/>
              </w:rPr>
              <w:t>Documents</w:t>
            </w:r>
            <w:proofErr w:type="spellEnd"/>
            <w:r w:rsidRPr="00004F57">
              <w:rPr>
                <w:color w:val="auto"/>
                <w:lang w:val="uk-UA"/>
              </w:rPr>
              <w:t>,”</w:t>
            </w:r>
            <w:r w:rsidRPr="00004F57">
              <w:rPr>
                <w:color w:val="auto"/>
              </w:rPr>
              <w:t xml:space="preserve"> </w:t>
            </w:r>
            <w:proofErr w:type="spellStart"/>
            <w:r w:rsidRPr="00004F57">
              <w:rPr>
                <w:color w:val="auto"/>
                <w:lang w:val="uk-UA"/>
              </w:rPr>
              <w:t>dated</w:t>
            </w:r>
            <w:proofErr w:type="spellEnd"/>
            <w:r w:rsidRPr="00004F57">
              <w:rPr>
                <w:color w:val="auto"/>
              </w:rPr>
              <w:t xml:space="preserve"> </w:t>
            </w:r>
            <w:proofErr w:type="spellStart"/>
            <w:r w:rsidRPr="00004F57">
              <w:rPr>
                <w:color w:val="auto"/>
                <w:lang w:val="uk-UA"/>
              </w:rPr>
              <w:t>April</w:t>
            </w:r>
            <w:proofErr w:type="spellEnd"/>
            <w:r w:rsidRPr="00004F57">
              <w:rPr>
                <w:color w:val="auto"/>
                <w:lang w:val="uk-UA"/>
              </w:rPr>
              <w:t xml:space="preserve"> 9, </w:t>
            </w:r>
            <w:r w:rsidRPr="00004F57">
              <w:rPr>
                <w:color w:val="auto"/>
              </w:rPr>
              <w:t xml:space="preserve">2014, </w:t>
            </w:r>
            <w:proofErr w:type="spellStart"/>
            <w:r w:rsidRPr="00004F57">
              <w:rPr>
                <w:color w:val="auto"/>
                <w:lang w:val="uk-UA"/>
              </w:rPr>
              <w:t>which</w:t>
            </w:r>
            <w:proofErr w:type="spellEnd"/>
            <w:r w:rsidRPr="00004F57">
              <w:rPr>
                <w:color w:val="auto"/>
                <w:lang w:val="uk-UA"/>
              </w:rPr>
              <w:t xml:space="preserve"> </w:t>
            </w:r>
            <w:proofErr w:type="spellStart"/>
            <w:r w:rsidRPr="00004F57">
              <w:rPr>
                <w:color w:val="auto"/>
                <w:lang w:val="uk-UA"/>
              </w:rPr>
              <w:t>entered</w:t>
            </w:r>
            <w:proofErr w:type="spellEnd"/>
            <w:r w:rsidRPr="00004F57">
              <w:rPr>
                <w:color w:val="auto"/>
                <w:lang w:val="uk-UA"/>
              </w:rPr>
              <w:t xml:space="preserve"> </w:t>
            </w:r>
            <w:proofErr w:type="spellStart"/>
            <w:r w:rsidRPr="00004F57">
              <w:rPr>
                <w:color w:val="auto"/>
                <w:lang w:val="uk-UA"/>
              </w:rPr>
              <w:t>into</w:t>
            </w:r>
            <w:proofErr w:type="spellEnd"/>
            <w:r w:rsidRPr="00004F57">
              <w:rPr>
                <w:color w:val="auto"/>
                <w:lang w:val="uk-UA"/>
              </w:rPr>
              <w:t xml:space="preserve"> </w:t>
            </w:r>
            <w:proofErr w:type="spellStart"/>
            <w:r w:rsidRPr="00004F57">
              <w:rPr>
                <w:color w:val="auto"/>
                <w:lang w:val="uk-UA"/>
              </w:rPr>
              <w:t>force</w:t>
            </w:r>
            <w:proofErr w:type="spellEnd"/>
            <w:r w:rsidRPr="00004F57">
              <w:rPr>
                <w:color w:val="auto"/>
                <w:lang w:val="uk-UA"/>
              </w:rPr>
              <w:t xml:space="preserve"> </w:t>
            </w:r>
            <w:proofErr w:type="spellStart"/>
            <w:r w:rsidRPr="00004F57">
              <w:rPr>
                <w:color w:val="auto"/>
                <w:lang w:val="uk-UA"/>
              </w:rPr>
              <w:t>on</w:t>
            </w:r>
            <w:proofErr w:type="spellEnd"/>
            <w:r w:rsidRPr="00004F57">
              <w:rPr>
                <w:color w:val="auto"/>
              </w:rPr>
              <w:t xml:space="preserve"> </w:t>
            </w:r>
            <w:proofErr w:type="spellStart"/>
            <w:r w:rsidRPr="00004F57">
              <w:rPr>
                <w:color w:val="auto"/>
                <w:lang w:val="uk-UA"/>
              </w:rPr>
              <w:t>April</w:t>
            </w:r>
            <w:proofErr w:type="spellEnd"/>
            <w:r w:rsidRPr="00004F57">
              <w:rPr>
                <w:color w:val="auto"/>
                <w:lang w:val="uk-UA"/>
              </w:rPr>
              <w:t xml:space="preserve"> 26, </w:t>
            </w:r>
            <w:r w:rsidRPr="00004F57">
              <w:rPr>
                <w:color w:val="auto"/>
              </w:rPr>
              <w:t xml:space="preserve">2014, </w:t>
            </w:r>
            <w:proofErr w:type="spellStart"/>
            <w:r w:rsidRPr="00004F57">
              <w:rPr>
                <w:color w:val="auto"/>
                <w:lang w:val="uk-UA"/>
              </w:rPr>
              <w:t>and</w:t>
            </w:r>
            <w:proofErr w:type="spellEnd"/>
            <w:r w:rsidRPr="00004F57">
              <w:rPr>
                <w:color w:val="auto"/>
                <w:lang w:val="uk-UA"/>
              </w:rPr>
              <w:t xml:space="preserve"> </w:t>
            </w:r>
            <w:proofErr w:type="spellStart"/>
            <w:r w:rsidRPr="00004F57">
              <w:rPr>
                <w:color w:val="auto"/>
                <w:lang w:val="uk-UA"/>
              </w:rPr>
              <w:t>which</w:t>
            </w:r>
            <w:proofErr w:type="spellEnd"/>
            <w:r w:rsidRPr="00004F57">
              <w:rPr>
                <w:color w:val="auto"/>
                <w:lang w:val="uk-UA"/>
              </w:rPr>
              <w:t xml:space="preserve"> </w:t>
            </w:r>
            <w:proofErr w:type="spellStart"/>
            <w:r w:rsidRPr="00004F57">
              <w:rPr>
                <w:color w:val="auto"/>
                <w:lang w:val="uk-UA"/>
              </w:rPr>
              <w:t>abolishes</w:t>
            </w:r>
            <w:proofErr w:type="spellEnd"/>
            <w:r w:rsidRPr="00004F57">
              <w:rPr>
                <w:color w:val="auto"/>
                <w:lang w:val="uk-UA"/>
              </w:rPr>
              <w:t xml:space="preserve"> a </w:t>
            </w:r>
            <w:proofErr w:type="spellStart"/>
            <w:r w:rsidRPr="00004F57">
              <w:rPr>
                <w:color w:val="auto"/>
                <w:lang w:val="uk-UA"/>
              </w:rPr>
              <w:t>number</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authorization</w:t>
            </w:r>
            <w:proofErr w:type="spellEnd"/>
            <w:r w:rsidRPr="00004F57">
              <w:rPr>
                <w:color w:val="auto"/>
              </w:rPr>
              <w:t xml:space="preserve"> </w:t>
            </w:r>
            <w:proofErr w:type="spellStart"/>
            <w:r w:rsidRPr="00004F57">
              <w:rPr>
                <w:color w:val="auto"/>
                <w:lang w:val="uk-UA"/>
              </w:rPr>
              <w:t>documents</w:t>
            </w:r>
            <w:proofErr w:type="spellEnd"/>
            <w:r w:rsidRPr="00004F57">
              <w:rPr>
                <w:color w:val="auto"/>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list</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documents</w:t>
            </w:r>
            <w:proofErr w:type="spellEnd"/>
            <w:r w:rsidRPr="00004F57">
              <w:rPr>
                <w:color w:val="auto"/>
                <w:lang w:val="uk-UA"/>
              </w:rPr>
              <w:t xml:space="preserve"> </w:t>
            </w:r>
            <w:proofErr w:type="spellStart"/>
            <w:r w:rsidRPr="00004F57">
              <w:rPr>
                <w:color w:val="auto"/>
                <w:lang w:val="uk-UA"/>
              </w:rPr>
              <w:t>and</w:t>
            </w:r>
            <w:proofErr w:type="spellEnd"/>
            <w:r w:rsidRPr="00004F57">
              <w:rPr>
                <w:color w:val="auto"/>
                <w:lang w:val="uk-UA"/>
              </w:rPr>
              <w:t xml:space="preserve"> a </w:t>
            </w:r>
            <w:proofErr w:type="spellStart"/>
            <w:r w:rsidRPr="00004F57">
              <w:rPr>
                <w:color w:val="auto"/>
                <w:lang w:val="uk-UA"/>
              </w:rPr>
              <w:t>detailed</w:t>
            </w:r>
            <w:proofErr w:type="spellEnd"/>
            <w:r w:rsidRPr="00004F57">
              <w:rPr>
                <w:color w:val="auto"/>
                <w:lang w:val="uk-UA"/>
              </w:rPr>
              <w:t xml:space="preserve"> </w:t>
            </w:r>
            <w:proofErr w:type="spellStart"/>
            <w:r w:rsidRPr="00004F57">
              <w:rPr>
                <w:color w:val="auto"/>
                <w:lang w:val="uk-UA"/>
              </w:rPr>
              <w:t>analysis</w:t>
            </w:r>
            <w:proofErr w:type="spellEnd"/>
            <w:r w:rsidRPr="00004F57">
              <w:rPr>
                <w:color w:val="auto"/>
                <w:lang w:val="uk-UA"/>
              </w:rPr>
              <w:t xml:space="preserve"> </w:t>
            </w:r>
            <w:proofErr w:type="spellStart"/>
            <w:r w:rsidRPr="00004F57">
              <w:rPr>
                <w:color w:val="auto"/>
                <w:lang w:val="uk-UA"/>
              </w:rPr>
              <w:t>of</w:t>
            </w:r>
            <w:proofErr w:type="spellEnd"/>
            <w:r w:rsidRPr="00004F57">
              <w:rPr>
                <w:color w:val="auto"/>
                <w:lang w:val="uk-UA"/>
              </w:rPr>
              <w:t xml:space="preserve"> </w:t>
            </w:r>
            <w:proofErr w:type="spellStart"/>
            <w:r w:rsidRPr="00004F57">
              <w:rPr>
                <w:color w:val="auto"/>
                <w:lang w:val="uk-UA"/>
              </w:rPr>
              <w:t>the</w:t>
            </w:r>
            <w:proofErr w:type="spellEnd"/>
            <w:r w:rsidRPr="00004F57">
              <w:rPr>
                <w:color w:val="auto"/>
                <w:lang w:val="uk-UA"/>
              </w:rPr>
              <w:t xml:space="preserve"> </w:t>
            </w:r>
            <w:proofErr w:type="spellStart"/>
            <w:r w:rsidRPr="00004F57">
              <w:rPr>
                <w:color w:val="auto"/>
                <w:lang w:val="uk-UA"/>
              </w:rPr>
              <w:t>mentioned</w:t>
            </w:r>
            <w:proofErr w:type="spellEnd"/>
            <w:r w:rsidRPr="00004F57">
              <w:rPr>
                <w:color w:val="auto"/>
                <w:lang w:val="uk-UA"/>
              </w:rPr>
              <w:t xml:space="preserve"> </w:t>
            </w:r>
            <w:proofErr w:type="spellStart"/>
            <w:r w:rsidRPr="00004F57">
              <w:rPr>
                <w:color w:val="auto"/>
                <w:lang w:val="uk-UA"/>
              </w:rPr>
              <w:t>law</w:t>
            </w:r>
            <w:proofErr w:type="spellEnd"/>
            <w:r w:rsidRPr="00004F57">
              <w:rPr>
                <w:color w:val="auto"/>
                <w:lang w:val="uk-UA"/>
              </w:rPr>
              <w:t xml:space="preserve"> </w:t>
            </w:r>
            <w:proofErr w:type="spellStart"/>
            <w:r w:rsidRPr="00004F57">
              <w:rPr>
                <w:color w:val="auto"/>
                <w:lang w:val="uk-UA"/>
              </w:rPr>
              <w:t>will</w:t>
            </w:r>
            <w:proofErr w:type="spellEnd"/>
            <w:r w:rsidRPr="00004F57">
              <w:rPr>
                <w:color w:val="auto"/>
                <w:lang w:val="uk-UA"/>
              </w:rPr>
              <w:t xml:space="preserve"> </w:t>
            </w:r>
            <w:proofErr w:type="spellStart"/>
            <w:r w:rsidRPr="00004F57">
              <w:rPr>
                <w:color w:val="auto"/>
                <w:lang w:val="uk-UA"/>
              </w:rPr>
              <w:t>be</w:t>
            </w:r>
            <w:proofErr w:type="spellEnd"/>
            <w:r w:rsidRPr="00004F57">
              <w:rPr>
                <w:color w:val="auto"/>
                <w:lang w:val="uk-UA"/>
              </w:rPr>
              <w:t xml:space="preserve"> </w:t>
            </w:r>
            <w:proofErr w:type="spellStart"/>
            <w:r w:rsidRPr="00004F57">
              <w:rPr>
                <w:color w:val="auto"/>
                <w:lang w:val="uk-UA"/>
              </w:rPr>
              <w:t>provided</w:t>
            </w:r>
            <w:proofErr w:type="spellEnd"/>
            <w:r w:rsidRPr="00004F57">
              <w:rPr>
                <w:color w:val="auto"/>
                <w:lang w:val="uk-UA"/>
              </w:rPr>
              <w:t xml:space="preserve"> </w:t>
            </w:r>
            <w:proofErr w:type="spellStart"/>
            <w:r w:rsidRPr="00004F57">
              <w:rPr>
                <w:color w:val="auto"/>
                <w:lang w:val="uk-UA"/>
              </w:rPr>
              <w:t>in</w:t>
            </w:r>
            <w:proofErr w:type="spellEnd"/>
            <w:r w:rsidRPr="00004F57">
              <w:rPr>
                <w:color w:val="auto"/>
                <w:lang w:val="uk-UA"/>
              </w:rPr>
              <w:t xml:space="preserve"> a </w:t>
            </w:r>
            <w:proofErr w:type="spellStart"/>
            <w:r w:rsidRPr="00004F57">
              <w:rPr>
                <w:color w:val="auto"/>
                <w:lang w:val="uk-UA"/>
              </w:rPr>
              <w:t>separate</w:t>
            </w:r>
            <w:proofErr w:type="spellEnd"/>
            <w:r w:rsidRPr="00004F57">
              <w:rPr>
                <w:color w:val="auto"/>
                <w:lang w:val="uk-UA"/>
              </w:rPr>
              <w:t xml:space="preserve"> </w:t>
            </w:r>
            <w:proofErr w:type="spellStart"/>
            <w:r w:rsidRPr="00004F57">
              <w:rPr>
                <w:color w:val="auto"/>
                <w:lang w:val="uk-UA"/>
              </w:rPr>
              <w:t>newsletter</w:t>
            </w:r>
            <w:proofErr w:type="spellEnd"/>
            <w:r w:rsidRPr="00004F57">
              <w:rPr>
                <w:color w:val="auto"/>
                <w:lang w:val="uk-UA"/>
              </w:rPr>
              <w:t xml:space="preserve">. </w:t>
            </w:r>
          </w:p>
          <w:p w:rsidR="00004F57" w:rsidRPr="00004F57" w:rsidRDefault="00004F57" w:rsidP="00004F57">
            <w:pPr>
              <w:jc w:val="both"/>
              <w:rPr>
                <w:lang w:val="uk-UA"/>
              </w:rPr>
            </w:pPr>
          </w:p>
        </w:tc>
        <w:tc>
          <w:tcPr>
            <w:tcW w:w="5095" w:type="dxa"/>
          </w:tcPr>
          <w:p w:rsidR="00004F57" w:rsidRPr="00004F57" w:rsidRDefault="00004F57" w:rsidP="00B977F5">
            <w:pPr>
              <w:pStyle w:val="Heading1"/>
              <w:spacing w:before="0" w:after="0"/>
              <w:jc w:val="both"/>
              <w:outlineLvl w:val="0"/>
              <w:rPr>
                <w:color w:val="auto"/>
                <w:lang w:val="ru-RU"/>
              </w:rPr>
            </w:pPr>
            <w:r w:rsidRPr="00004F57">
              <w:rPr>
                <w:color w:val="auto"/>
                <w:lang w:val="ru-RU"/>
              </w:rPr>
              <w:lastRenderedPageBreak/>
              <w:t>НЕФТЬ И</w:t>
            </w:r>
            <w:r w:rsidRPr="00BF5AFD">
              <w:rPr>
                <w:color w:val="auto"/>
                <w:lang w:val="ru-RU"/>
              </w:rPr>
              <w:t xml:space="preserve"> </w:t>
            </w:r>
            <w:r w:rsidRPr="00004F57">
              <w:rPr>
                <w:color w:val="auto"/>
                <w:lang w:val="ru-RU"/>
              </w:rPr>
              <w:t>ГАЗ</w:t>
            </w:r>
          </w:p>
          <w:p w:rsidR="00004F57" w:rsidRPr="00004F57" w:rsidRDefault="00004F57" w:rsidP="00B977F5">
            <w:pPr>
              <w:pStyle w:val="BodyText"/>
              <w:spacing w:after="0"/>
              <w:jc w:val="both"/>
              <w:rPr>
                <w:color w:val="auto"/>
                <w:lang w:val="ru-RU"/>
              </w:rPr>
            </w:pPr>
            <w:r w:rsidRPr="00004F57">
              <w:rPr>
                <w:color w:val="auto"/>
                <w:lang w:val="ru-RU"/>
              </w:rPr>
              <w:t>Кабинет Министров Украины принял Постановление «Об утверждении Порядка и правил проведения обязательного страхования имущественных рисков во время промышленной разработки месторождений нефти и газа в случаях, предусмотренных Законом Украины «О нефти и газе» от 13 ноября 2013 г. № 979, которое вступило в силу 05 февраля 2014 (далее «</w:t>
            </w:r>
            <w:r w:rsidRPr="00004F57">
              <w:rPr>
                <w:b/>
                <w:color w:val="auto"/>
                <w:lang w:val="ru-RU"/>
              </w:rPr>
              <w:t>Постановление № 979</w:t>
            </w:r>
            <w:r w:rsidRPr="00004F57">
              <w:rPr>
                <w:color w:val="auto"/>
                <w:lang w:val="ru-RU"/>
              </w:rPr>
              <w:t xml:space="preserve">»). </w:t>
            </w:r>
          </w:p>
          <w:p w:rsidR="00004F57" w:rsidRPr="00004F57" w:rsidRDefault="00004F57" w:rsidP="00004F57">
            <w:pPr>
              <w:pStyle w:val="BodyText"/>
              <w:jc w:val="both"/>
              <w:rPr>
                <w:color w:val="auto"/>
                <w:lang w:val="ru-RU"/>
              </w:rPr>
            </w:pPr>
            <w:r w:rsidRPr="00004F57">
              <w:rPr>
                <w:color w:val="auto"/>
                <w:lang w:val="ru-RU"/>
              </w:rPr>
              <w:t>Постановление № 979 предусматривает, что:</w:t>
            </w:r>
          </w:p>
          <w:p w:rsidR="00004F57" w:rsidRPr="00004F57" w:rsidRDefault="00004F57" w:rsidP="00004F57">
            <w:pPr>
              <w:pStyle w:val="BodyText"/>
              <w:jc w:val="both"/>
              <w:rPr>
                <w:color w:val="auto"/>
                <w:lang w:val="ru-RU"/>
              </w:rPr>
            </w:pPr>
            <w:r w:rsidRPr="00004F57">
              <w:rPr>
                <w:color w:val="auto"/>
                <w:lang w:val="ru-RU"/>
              </w:rPr>
              <w:t xml:space="preserve">1. </w:t>
            </w:r>
            <w:proofErr w:type="gramStart"/>
            <w:r w:rsidRPr="00004F57">
              <w:rPr>
                <w:color w:val="auto"/>
                <w:lang w:val="ru-RU"/>
              </w:rPr>
              <w:t>Обязательное страхование имущественных рисков во время промышленной разработки месторождений нефти и газа в случаях, предусмотренных Законом Украины «О нефти и газе» (далее - обязательное страхование), проводится с целью обеспечения возмещения ущерба, причиненного страхователем окружающей среде вследствие аварии или технических неполадок, а также за повреждение государственного имущества, которое было предоставлено в пользование, на протяжении срока промышленной разработки месторождений нефти и газа.</w:t>
            </w:r>
            <w:proofErr w:type="gramEnd"/>
          </w:p>
          <w:p w:rsidR="00004F57" w:rsidRPr="00004F57" w:rsidRDefault="00004F57" w:rsidP="00004F57">
            <w:pPr>
              <w:pStyle w:val="BodyText"/>
              <w:jc w:val="both"/>
              <w:rPr>
                <w:color w:val="auto"/>
                <w:lang w:val="ru-RU"/>
              </w:rPr>
            </w:pPr>
            <w:r w:rsidRPr="00004F57">
              <w:rPr>
                <w:color w:val="auto"/>
                <w:lang w:val="ru-RU"/>
              </w:rPr>
              <w:t>2. Договор обязательного страхования составляется в письменной форме сроком на один год в соответствии с  Типовым договором обязательного страхования.</w:t>
            </w:r>
          </w:p>
          <w:p w:rsidR="00004F57" w:rsidRPr="00004F57" w:rsidRDefault="00004F57" w:rsidP="00004F57">
            <w:pPr>
              <w:pStyle w:val="BodyText"/>
              <w:jc w:val="both"/>
              <w:rPr>
                <w:color w:val="auto"/>
                <w:lang w:val="ru-RU"/>
              </w:rPr>
            </w:pPr>
            <w:r w:rsidRPr="00004F57">
              <w:rPr>
                <w:color w:val="auto"/>
                <w:lang w:val="ru-RU"/>
              </w:rPr>
              <w:t xml:space="preserve">3. Постановлением № 979 утверждена Методика актуальных расчетов страховых тарифов по договорам обязательного страхования имущественных рисков во время промышленной разработки месторождений нефти и газа в случаях, предусмотренных Законом Украины «О нефти и газе» и Типовой договор обязательного страхования имущественных рисков во время промышленной разработки месторождений нефти и газа. </w:t>
            </w:r>
          </w:p>
          <w:p w:rsidR="00004F57" w:rsidRPr="00004F57" w:rsidRDefault="00004F57" w:rsidP="00004F57">
            <w:pPr>
              <w:pStyle w:val="BodyText"/>
              <w:jc w:val="both"/>
              <w:rPr>
                <w:color w:val="auto"/>
                <w:lang w:val="ru-RU"/>
              </w:rPr>
            </w:pPr>
            <w:r w:rsidRPr="00004F57">
              <w:rPr>
                <w:color w:val="auto"/>
                <w:lang w:val="ru-RU"/>
              </w:rPr>
              <w:t>4. Страховая сумма по одному договору обязательного страхования составляет:</w:t>
            </w:r>
          </w:p>
          <w:p w:rsidR="00004F57" w:rsidRPr="00004F57" w:rsidRDefault="00B977F5" w:rsidP="00004F57">
            <w:pPr>
              <w:pStyle w:val="Bullet"/>
              <w:numPr>
                <w:ilvl w:val="0"/>
                <w:numId w:val="14"/>
              </w:numPr>
              <w:ind w:left="151" w:hanging="351"/>
              <w:jc w:val="both"/>
              <w:rPr>
                <w:color w:val="auto"/>
                <w:lang w:val="ru-RU"/>
              </w:rPr>
            </w:pPr>
            <w:proofErr w:type="gramStart"/>
            <w:r>
              <w:rPr>
                <w:color w:val="auto"/>
                <w:lang w:val="en-US"/>
              </w:rPr>
              <w:t>a</w:t>
            </w:r>
            <w:proofErr w:type="gramEnd"/>
            <w:r w:rsidRPr="00B977F5">
              <w:rPr>
                <w:color w:val="auto"/>
                <w:lang w:val="ru-RU"/>
              </w:rPr>
              <w:t xml:space="preserve">. </w:t>
            </w:r>
            <w:r w:rsidR="00004F57" w:rsidRPr="00004F57">
              <w:rPr>
                <w:color w:val="auto"/>
                <w:lang w:val="ru-RU"/>
              </w:rPr>
              <w:t xml:space="preserve">в случае, когда объем добычи страхователем в год составляет более чем 100 млн. куб. метров газа или 15 тыс. тонн нефти и газового конденсата, - 10000000 необлагаемых налогом минимумов доходов граждан на момент определения ее конкретного размера (по состоянию на сейчас необлагаемый налогом минимум </w:t>
            </w:r>
            <w:r w:rsidR="00004F57" w:rsidRPr="00004F57">
              <w:rPr>
                <w:color w:val="auto"/>
                <w:lang w:val="ru-RU"/>
              </w:rPr>
              <w:lastRenderedPageBreak/>
              <w:t xml:space="preserve">доходов граждан составляет 17 грн.); </w:t>
            </w:r>
          </w:p>
          <w:p w:rsidR="00004F57" w:rsidRPr="00004F57" w:rsidRDefault="00B977F5" w:rsidP="00004F57">
            <w:pPr>
              <w:pStyle w:val="Bullet"/>
              <w:numPr>
                <w:ilvl w:val="0"/>
                <w:numId w:val="13"/>
              </w:numPr>
              <w:jc w:val="both"/>
              <w:rPr>
                <w:color w:val="auto"/>
                <w:lang w:val="ru-RU"/>
              </w:rPr>
            </w:pPr>
            <w:proofErr w:type="gramStart"/>
            <w:r>
              <w:rPr>
                <w:color w:val="auto"/>
                <w:lang w:val="en-US"/>
              </w:rPr>
              <w:t>b</w:t>
            </w:r>
            <w:proofErr w:type="gramEnd"/>
            <w:r w:rsidRPr="00B977F5">
              <w:rPr>
                <w:color w:val="auto"/>
                <w:lang w:val="ru-RU"/>
              </w:rPr>
              <w:t xml:space="preserve">. </w:t>
            </w:r>
            <w:r w:rsidR="00004F57" w:rsidRPr="00004F57">
              <w:rPr>
                <w:color w:val="auto"/>
                <w:lang w:val="ru-RU"/>
              </w:rPr>
              <w:t>в случае, когда объем добычи страхователем в год составляет от 20 млн. куб. метров газа или 3 тис</w:t>
            </w:r>
            <w:proofErr w:type="gramStart"/>
            <w:r w:rsidR="00004F57" w:rsidRPr="00004F57">
              <w:rPr>
                <w:color w:val="auto"/>
                <w:lang w:val="ru-RU"/>
              </w:rPr>
              <w:t>.</w:t>
            </w:r>
            <w:proofErr w:type="gramEnd"/>
            <w:r w:rsidR="00004F57" w:rsidRPr="00004F57">
              <w:rPr>
                <w:color w:val="auto"/>
                <w:lang w:val="ru-RU"/>
              </w:rPr>
              <w:t xml:space="preserve"> </w:t>
            </w:r>
            <w:proofErr w:type="gramStart"/>
            <w:r w:rsidR="00004F57" w:rsidRPr="00004F57">
              <w:rPr>
                <w:color w:val="auto"/>
                <w:lang w:val="ru-RU"/>
              </w:rPr>
              <w:t>т</w:t>
            </w:r>
            <w:proofErr w:type="gramEnd"/>
            <w:r w:rsidR="00004F57" w:rsidRPr="00004F57">
              <w:rPr>
                <w:color w:val="auto"/>
                <w:lang w:val="ru-RU"/>
              </w:rPr>
              <w:t xml:space="preserve">онн нефти и газового конденсата до 100 млн. куб. метров газа или 15 тис. тонн нефти и газового конденсата, - 6000000 необлагаемых налогом минимумов доходов граждан на момент определения ее конкретного размера; </w:t>
            </w:r>
          </w:p>
          <w:p w:rsidR="00004F57" w:rsidRPr="00004F57" w:rsidRDefault="00B977F5" w:rsidP="00004F57">
            <w:pPr>
              <w:pStyle w:val="Bullet"/>
              <w:numPr>
                <w:ilvl w:val="0"/>
                <w:numId w:val="13"/>
              </w:numPr>
              <w:jc w:val="both"/>
              <w:rPr>
                <w:color w:val="auto"/>
                <w:lang w:val="ru-RU"/>
              </w:rPr>
            </w:pPr>
            <w:proofErr w:type="gramStart"/>
            <w:r>
              <w:rPr>
                <w:color w:val="auto"/>
                <w:lang w:val="en-US"/>
              </w:rPr>
              <w:t>c</w:t>
            </w:r>
            <w:proofErr w:type="gramEnd"/>
            <w:r w:rsidRPr="00B977F5">
              <w:rPr>
                <w:color w:val="auto"/>
                <w:lang w:val="ru-RU"/>
              </w:rPr>
              <w:t xml:space="preserve">. </w:t>
            </w:r>
            <w:r w:rsidR="00004F57" w:rsidRPr="00004F57">
              <w:rPr>
                <w:color w:val="auto"/>
                <w:lang w:val="ru-RU"/>
              </w:rPr>
              <w:t>в случае, когда объем добычи страхователем в год составляет менее 20 млн. куб. метров газа или 3 тис</w:t>
            </w:r>
            <w:proofErr w:type="gramStart"/>
            <w:r w:rsidR="00004F57" w:rsidRPr="00004F57">
              <w:rPr>
                <w:color w:val="auto"/>
                <w:lang w:val="ru-RU"/>
              </w:rPr>
              <w:t>.</w:t>
            </w:r>
            <w:proofErr w:type="gramEnd"/>
            <w:r w:rsidR="00004F57" w:rsidRPr="00004F57">
              <w:rPr>
                <w:color w:val="auto"/>
                <w:lang w:val="ru-RU"/>
              </w:rPr>
              <w:t xml:space="preserve"> </w:t>
            </w:r>
            <w:proofErr w:type="gramStart"/>
            <w:r w:rsidR="00004F57" w:rsidRPr="00004F57">
              <w:rPr>
                <w:color w:val="auto"/>
                <w:lang w:val="ru-RU"/>
              </w:rPr>
              <w:t>т</w:t>
            </w:r>
            <w:proofErr w:type="gramEnd"/>
            <w:r w:rsidR="00004F57" w:rsidRPr="00004F57">
              <w:rPr>
                <w:color w:val="auto"/>
                <w:lang w:val="ru-RU"/>
              </w:rPr>
              <w:t xml:space="preserve">онн нефти и газового конденсата, - 4000000 необлагаемых налогом минимумов доходов граждан на момент определения ее конкретного размера; </w:t>
            </w:r>
          </w:p>
          <w:p w:rsidR="00004F57" w:rsidRPr="00004F57" w:rsidRDefault="00B977F5" w:rsidP="00004F57">
            <w:pPr>
              <w:pStyle w:val="Bullet"/>
              <w:numPr>
                <w:ilvl w:val="0"/>
                <w:numId w:val="13"/>
              </w:numPr>
              <w:jc w:val="both"/>
              <w:rPr>
                <w:color w:val="auto"/>
                <w:lang w:val="ru-RU"/>
              </w:rPr>
            </w:pPr>
            <w:r>
              <w:rPr>
                <w:color w:val="auto"/>
                <w:lang w:val="en-US"/>
              </w:rPr>
              <w:t>d</w:t>
            </w:r>
            <w:r w:rsidRPr="00B977F5">
              <w:rPr>
                <w:color w:val="auto"/>
                <w:lang w:val="ru-RU"/>
              </w:rPr>
              <w:t xml:space="preserve">. </w:t>
            </w:r>
            <w:r w:rsidR="00004F57" w:rsidRPr="00004F57">
              <w:rPr>
                <w:color w:val="auto"/>
                <w:lang w:val="ru-RU"/>
              </w:rPr>
              <w:t xml:space="preserve">в случае добычи природного газа для формирования ресурса природного газа для нужд населения согласно статье 10 Закона Украины "О принципах функционирования рынка природного газа" страховая сумма по одному договору обязательного страхования составляет 5000000 необлагаемых налогом  минимумов доходов граждан на момент определения ее конкретного размера. </w:t>
            </w:r>
          </w:p>
          <w:p w:rsidR="00004F57" w:rsidRPr="00004F57" w:rsidRDefault="00004F57" w:rsidP="00004F57">
            <w:pPr>
              <w:pStyle w:val="BodyText"/>
              <w:jc w:val="both"/>
              <w:rPr>
                <w:color w:val="auto"/>
                <w:lang w:val="ru-RU"/>
              </w:rPr>
            </w:pPr>
            <w:r w:rsidRPr="00004F57">
              <w:rPr>
                <w:color w:val="auto"/>
                <w:lang w:val="ru-RU"/>
              </w:rPr>
              <w:t>Кроме того, Кабинет Министров Украины принял Постановление «Об утверждении Порядка и правил проведения обязательного страхования имущественных рисков пользователя недр во время исследовательски-промышленной и промышленной добычи и использования газа (метана) угольных месторождений» от 13 ноября 2013 г. № 980 (далее «</w:t>
            </w:r>
            <w:r w:rsidRPr="00004F57">
              <w:rPr>
                <w:b/>
                <w:color w:val="auto"/>
                <w:lang w:val="ru-RU"/>
              </w:rPr>
              <w:t>Постановление № 980</w:t>
            </w:r>
            <w:r w:rsidRPr="00004F57">
              <w:rPr>
                <w:color w:val="auto"/>
                <w:lang w:val="ru-RU"/>
              </w:rPr>
              <w:t>»).</w:t>
            </w:r>
          </w:p>
          <w:p w:rsidR="00004F57" w:rsidRPr="00004F57" w:rsidRDefault="00004F57" w:rsidP="00004F57">
            <w:pPr>
              <w:pStyle w:val="BodyText"/>
              <w:jc w:val="both"/>
              <w:rPr>
                <w:color w:val="auto"/>
                <w:lang w:val="ru-RU"/>
              </w:rPr>
            </w:pPr>
            <w:r w:rsidRPr="00004F57">
              <w:rPr>
                <w:color w:val="auto"/>
                <w:lang w:val="ru-RU"/>
              </w:rPr>
              <w:t>Постановлением № 980 в частности предусмотрено, что:</w:t>
            </w:r>
          </w:p>
          <w:p w:rsidR="00004F57" w:rsidRPr="00004F57" w:rsidRDefault="00004F57" w:rsidP="00004F57">
            <w:pPr>
              <w:pStyle w:val="BodyText"/>
              <w:jc w:val="both"/>
              <w:rPr>
                <w:color w:val="auto"/>
                <w:lang w:val="ru-RU"/>
              </w:rPr>
            </w:pPr>
            <w:r w:rsidRPr="00004F57">
              <w:rPr>
                <w:color w:val="auto"/>
                <w:lang w:val="ru-RU"/>
              </w:rPr>
              <w:t>1. Страховая сумма по одному договору обязательного страхования составляет 10 млн. необлагаемых налогом  минимумов доходов граждан на момент определения ее конкретного размера. Для предприятий, в уставном капитале которых доля государства превышает 50 процентов, страховая сумма по одному договору обязательного страхования составляет 5 млн. необлагаемых налогом  минимумов доходов граждан на момент определения ее конкретного размера.</w:t>
            </w:r>
          </w:p>
          <w:p w:rsidR="00004F57" w:rsidRPr="00004F57" w:rsidRDefault="00004F57" w:rsidP="00004F57">
            <w:pPr>
              <w:pStyle w:val="BodyText"/>
              <w:jc w:val="both"/>
              <w:rPr>
                <w:color w:val="auto"/>
                <w:lang w:val="ru-RU"/>
              </w:rPr>
            </w:pPr>
            <w:r w:rsidRPr="00004F57">
              <w:rPr>
                <w:color w:val="auto"/>
                <w:lang w:val="ru-RU"/>
              </w:rPr>
              <w:t>2. Договор обязательного страхования составляется в письменной форме на срок один год в соответствии с  Типовым договором обязательного страхования, приведенного в приложении 2 к Постановлению № 980.</w:t>
            </w:r>
          </w:p>
          <w:p w:rsidR="00004F57" w:rsidRPr="00004F57" w:rsidRDefault="00004F57" w:rsidP="00004F57">
            <w:pPr>
              <w:pStyle w:val="BodyText"/>
              <w:jc w:val="both"/>
              <w:rPr>
                <w:color w:val="auto"/>
                <w:lang w:val="ru-RU"/>
              </w:rPr>
            </w:pPr>
            <w:r w:rsidRPr="00004F57">
              <w:rPr>
                <w:color w:val="auto"/>
                <w:lang w:val="ru-RU"/>
              </w:rPr>
              <w:t xml:space="preserve">3. Кроме того, Постановлением № 980 утверждена Методика актуальных расчетов страховых тарифов по договорам обязательного страхования имущественных рисков пользователя недр во время исследовательски-промышленной и промышленной добычи и </w:t>
            </w:r>
            <w:r w:rsidRPr="00004F57">
              <w:rPr>
                <w:color w:val="auto"/>
                <w:lang w:val="ru-RU"/>
              </w:rPr>
              <w:lastRenderedPageBreak/>
              <w:t>использования газа (метана) угольных месторождений».</w:t>
            </w:r>
          </w:p>
          <w:p w:rsidR="00004F57" w:rsidRPr="00004F57" w:rsidRDefault="00004F57" w:rsidP="00004F57">
            <w:pPr>
              <w:pStyle w:val="BodyText"/>
              <w:jc w:val="both"/>
              <w:rPr>
                <w:color w:val="auto"/>
                <w:lang w:val="ru-RU"/>
              </w:rPr>
            </w:pPr>
            <w:r w:rsidRPr="00004F57">
              <w:rPr>
                <w:color w:val="auto"/>
                <w:lang w:val="ru-RU"/>
              </w:rPr>
              <w:t>Отметим, что в международной практике указанные риски покрываются пакетным страхованием деятельности компании. Однако</w:t>
            </w:r>
            <w:proofErr w:type="gramStart"/>
            <w:r w:rsidRPr="00004F57">
              <w:rPr>
                <w:color w:val="auto"/>
                <w:lang w:val="ru-RU"/>
              </w:rPr>
              <w:t>,</w:t>
            </w:r>
            <w:proofErr w:type="gramEnd"/>
            <w:r w:rsidRPr="00004F57">
              <w:rPr>
                <w:color w:val="auto"/>
                <w:lang w:val="ru-RU"/>
              </w:rPr>
              <w:t xml:space="preserve"> украинский законодатель пожелал отдельного страхования имущественных рисков пользователя недр, который действует на территории Украины.</w:t>
            </w:r>
          </w:p>
          <w:p w:rsidR="00004F57" w:rsidRPr="00004F57" w:rsidRDefault="00004F57" w:rsidP="00004F57">
            <w:pPr>
              <w:pStyle w:val="BodyText"/>
              <w:jc w:val="both"/>
              <w:rPr>
                <w:color w:val="auto"/>
                <w:lang w:val="ru-RU"/>
              </w:rPr>
            </w:pPr>
            <w:r w:rsidRPr="00004F57">
              <w:rPr>
                <w:color w:val="auto"/>
                <w:lang w:val="ru-RU"/>
              </w:rPr>
              <w:t xml:space="preserve">Насколько нам известно, участники рынка пока что не выполняют указанные постановления </w:t>
            </w:r>
            <w:proofErr w:type="gramStart"/>
            <w:r w:rsidRPr="00004F57">
              <w:rPr>
                <w:color w:val="auto"/>
                <w:lang w:val="ru-RU"/>
              </w:rPr>
              <w:t>из-за</w:t>
            </w:r>
            <w:proofErr w:type="gramEnd"/>
            <w:r w:rsidRPr="00004F57">
              <w:rPr>
                <w:color w:val="auto"/>
                <w:lang w:val="ru-RU"/>
              </w:rPr>
              <w:t>:</w:t>
            </w:r>
          </w:p>
          <w:p w:rsidR="00004F57" w:rsidRPr="00004F57" w:rsidRDefault="00004F57" w:rsidP="00004F57">
            <w:pPr>
              <w:pStyle w:val="BodyText"/>
              <w:numPr>
                <w:ilvl w:val="0"/>
                <w:numId w:val="2"/>
              </w:numPr>
              <w:jc w:val="both"/>
              <w:rPr>
                <w:color w:val="auto"/>
                <w:lang w:val="ru-RU"/>
              </w:rPr>
            </w:pPr>
            <w:r w:rsidRPr="00004F57">
              <w:rPr>
                <w:color w:val="auto"/>
                <w:lang w:val="ru-RU"/>
              </w:rPr>
              <w:t>высоких затрат на страхование;</w:t>
            </w:r>
          </w:p>
          <w:p w:rsidR="00004F57" w:rsidRPr="00B977F5" w:rsidRDefault="00004F57" w:rsidP="00004F57">
            <w:pPr>
              <w:pStyle w:val="BodyText"/>
              <w:numPr>
                <w:ilvl w:val="0"/>
                <w:numId w:val="2"/>
              </w:numPr>
              <w:jc w:val="both"/>
              <w:rPr>
                <w:color w:val="auto"/>
                <w:lang w:val="ru-RU"/>
              </w:rPr>
            </w:pPr>
            <w:r w:rsidRPr="00004F57">
              <w:rPr>
                <w:color w:val="auto"/>
                <w:lang w:val="ru-RU"/>
              </w:rPr>
              <w:t>отсутствия санкций за невыполнение указанных положений законодательства.</w:t>
            </w:r>
          </w:p>
          <w:p w:rsidR="00B977F5" w:rsidRPr="00004F57" w:rsidRDefault="00B977F5" w:rsidP="00B977F5">
            <w:pPr>
              <w:pStyle w:val="BodyText"/>
              <w:ind w:left="720"/>
              <w:jc w:val="both"/>
              <w:rPr>
                <w:color w:val="auto"/>
                <w:lang w:val="ru-RU"/>
              </w:rPr>
            </w:pPr>
          </w:p>
          <w:p w:rsidR="00004F57" w:rsidRPr="00004F57" w:rsidRDefault="00004F57" w:rsidP="00B977F5">
            <w:pPr>
              <w:pStyle w:val="Heading1"/>
              <w:spacing w:before="0" w:after="0"/>
              <w:jc w:val="both"/>
              <w:outlineLvl w:val="0"/>
              <w:rPr>
                <w:color w:val="auto"/>
                <w:lang w:val="ru-RU"/>
              </w:rPr>
            </w:pPr>
            <w:r w:rsidRPr="00004F57">
              <w:rPr>
                <w:color w:val="auto"/>
                <w:lang w:val="ru-RU"/>
              </w:rPr>
              <w:t>ПЛАТА ЗА ГАЗ</w:t>
            </w:r>
          </w:p>
          <w:p w:rsidR="00004F57" w:rsidRPr="00004F57" w:rsidRDefault="00004F57" w:rsidP="00004F57">
            <w:pPr>
              <w:pStyle w:val="BodyText"/>
              <w:jc w:val="both"/>
              <w:rPr>
                <w:color w:val="auto"/>
                <w:lang w:val="ru-RU"/>
              </w:rPr>
            </w:pPr>
            <w:proofErr w:type="gramStart"/>
            <w:r w:rsidRPr="00004F57">
              <w:rPr>
                <w:color w:val="auto"/>
                <w:lang w:val="ru-RU"/>
              </w:rPr>
              <w:t xml:space="preserve">Национальная комиссия,  которая осуществляет государственное  регулирование в сфере энергетики приняла Постановление от 30.04.2014 года  № 577 "Об установлении предельного уровня цены на природный газ для промышленных потребителей и других субъектов ведения хозяйства", которым предусмотрено </w:t>
            </w:r>
            <w:r w:rsidRPr="00004F57">
              <w:rPr>
                <w:rStyle w:val="Strong"/>
                <w:color w:val="auto"/>
                <w:lang w:val="ru-RU"/>
              </w:rPr>
              <w:t>установление предельного (максимального) уровня цены на природный газ, который реализуется промышленным потребителям и другим субъектам ведения хозяйства, - 4724,00 грн. за 1000 м3</w:t>
            </w:r>
            <w:r w:rsidRPr="00004F57">
              <w:rPr>
                <w:color w:val="auto"/>
                <w:lang w:val="ru-RU"/>
              </w:rPr>
              <w:t xml:space="preserve"> (без учета налога на добавленную</w:t>
            </w:r>
            <w:proofErr w:type="gramEnd"/>
            <w:r w:rsidRPr="00004F57">
              <w:rPr>
                <w:color w:val="auto"/>
                <w:lang w:val="ru-RU"/>
              </w:rPr>
              <w:t xml:space="preserve"> стоимость и сбора в виде целевой надбавки к действующему тарифу на природный газ для потребителей всех форм собственности, который взымается в размере 2 процентов, тарифов на услуги по транспортировке, распределению и поставке природного газа по регулируемому тарифу.</w:t>
            </w:r>
          </w:p>
          <w:p w:rsidR="00004F57" w:rsidRPr="00004F57" w:rsidRDefault="00004F57" w:rsidP="00B977F5">
            <w:pPr>
              <w:pStyle w:val="Heading1"/>
              <w:spacing w:before="0" w:after="0"/>
              <w:jc w:val="both"/>
              <w:outlineLvl w:val="0"/>
              <w:rPr>
                <w:color w:val="auto"/>
                <w:lang w:val="ru-RU"/>
              </w:rPr>
            </w:pPr>
            <w:r w:rsidRPr="00004F57">
              <w:rPr>
                <w:color w:val="auto"/>
                <w:lang w:val="ru-RU"/>
              </w:rPr>
              <w:t xml:space="preserve">ЭЛЕКТРОЭНЕРГЕТИКА </w:t>
            </w:r>
          </w:p>
          <w:p w:rsidR="00004F57" w:rsidRPr="00004F57" w:rsidRDefault="00004F57" w:rsidP="00B977F5">
            <w:pPr>
              <w:pStyle w:val="BodyText"/>
              <w:spacing w:after="0"/>
              <w:jc w:val="both"/>
              <w:rPr>
                <w:color w:val="auto"/>
                <w:lang w:val="ru-RU"/>
              </w:rPr>
            </w:pPr>
            <w:r w:rsidRPr="00004F57">
              <w:rPr>
                <w:color w:val="auto"/>
                <w:lang w:val="ru-RU"/>
              </w:rPr>
              <w:t>НКРЭ издано ряд важных информационных писем, в частности:</w:t>
            </w:r>
          </w:p>
          <w:p w:rsidR="00004F57" w:rsidRPr="00004F57" w:rsidRDefault="00004F57" w:rsidP="00B977F5">
            <w:pPr>
              <w:pStyle w:val="Bullet"/>
              <w:numPr>
                <w:ilvl w:val="0"/>
                <w:numId w:val="22"/>
              </w:numPr>
              <w:jc w:val="both"/>
              <w:rPr>
                <w:color w:val="auto"/>
                <w:lang w:val="ru-RU"/>
              </w:rPr>
            </w:pPr>
            <w:r w:rsidRPr="00004F57">
              <w:rPr>
                <w:color w:val="auto"/>
                <w:lang w:val="ru-RU"/>
              </w:rPr>
              <w:t xml:space="preserve">"Относительно нестандартного присоединения электроустановок к электрическим сетям", письмо от 28.02.2014 № 1276/26/47-14; </w:t>
            </w:r>
          </w:p>
          <w:p w:rsidR="00004F57" w:rsidRPr="00004F57" w:rsidRDefault="00004F57" w:rsidP="00B977F5">
            <w:pPr>
              <w:pStyle w:val="Bullet"/>
              <w:numPr>
                <w:ilvl w:val="0"/>
                <w:numId w:val="22"/>
              </w:numPr>
              <w:jc w:val="both"/>
              <w:rPr>
                <w:color w:val="auto"/>
                <w:lang w:val="ru-RU"/>
              </w:rPr>
            </w:pPr>
            <w:r w:rsidRPr="00004F57">
              <w:rPr>
                <w:color w:val="auto"/>
                <w:lang w:val="ru-RU"/>
              </w:rPr>
              <w:t xml:space="preserve">"Относительно порядка передачи бесхозяйных электрических сетей в хозяйственное ведение электропередаточной организации", письмо от 26.02.2014 № 1218/26/47-14; </w:t>
            </w:r>
          </w:p>
          <w:p w:rsidR="00004F57" w:rsidRPr="00004F57" w:rsidRDefault="00004F57" w:rsidP="00B977F5">
            <w:pPr>
              <w:pStyle w:val="Bullet"/>
              <w:numPr>
                <w:ilvl w:val="0"/>
                <w:numId w:val="22"/>
              </w:numPr>
              <w:jc w:val="both"/>
              <w:rPr>
                <w:color w:val="auto"/>
                <w:lang w:val="ru-RU"/>
              </w:rPr>
            </w:pPr>
            <w:r w:rsidRPr="00004F57">
              <w:rPr>
                <w:color w:val="auto"/>
                <w:lang w:val="ru-RU"/>
              </w:rPr>
              <w:t xml:space="preserve">"Относительно порядка подключения электроустановки к электрической сети ", письмо от 16.01.2014 № 277/26/47-14; </w:t>
            </w:r>
          </w:p>
          <w:p w:rsidR="00004F57" w:rsidRPr="00004F57" w:rsidRDefault="00004F57" w:rsidP="00B977F5">
            <w:pPr>
              <w:pStyle w:val="Bullet"/>
              <w:numPr>
                <w:ilvl w:val="0"/>
                <w:numId w:val="22"/>
              </w:numPr>
              <w:jc w:val="both"/>
              <w:rPr>
                <w:color w:val="auto"/>
                <w:lang w:val="ru-RU"/>
              </w:rPr>
            </w:pPr>
            <w:r w:rsidRPr="00004F57">
              <w:rPr>
                <w:color w:val="auto"/>
                <w:lang w:val="ru-RU"/>
              </w:rPr>
              <w:t xml:space="preserve">"Относительно составления договора о поставке электрической энергии", письмо от 16.01.2014 № 276/26/47-14. </w:t>
            </w:r>
          </w:p>
          <w:p w:rsidR="00004F57" w:rsidRPr="00004F57" w:rsidRDefault="00004F57" w:rsidP="00B977F5">
            <w:pPr>
              <w:pStyle w:val="Heading1"/>
              <w:spacing w:before="0" w:after="0"/>
              <w:jc w:val="both"/>
              <w:outlineLvl w:val="0"/>
              <w:rPr>
                <w:color w:val="auto"/>
                <w:lang w:val="ru-RU"/>
              </w:rPr>
            </w:pPr>
            <w:r w:rsidRPr="00004F57">
              <w:rPr>
                <w:color w:val="auto"/>
                <w:lang w:val="ru-RU"/>
              </w:rPr>
              <w:lastRenderedPageBreak/>
              <w:t>ЗЕМЕЛЬНОЕ ЗАКОНОДАТЕЛЬСТВО</w:t>
            </w:r>
          </w:p>
          <w:p w:rsidR="00004F57" w:rsidRPr="00004F57" w:rsidRDefault="00004F57" w:rsidP="00B977F5">
            <w:pPr>
              <w:pStyle w:val="BodyText"/>
              <w:spacing w:after="0"/>
              <w:jc w:val="both"/>
              <w:rPr>
                <w:color w:val="auto"/>
                <w:lang w:val="ru-RU"/>
              </w:rPr>
            </w:pPr>
            <w:r w:rsidRPr="00004F57">
              <w:rPr>
                <w:color w:val="auto"/>
                <w:lang w:val="ru-RU"/>
              </w:rPr>
              <w:t xml:space="preserve">Согласно с Приказом Государственного агентства земельных ресурсов Украины от 27.03.2014, под № 94 "О внесении изменений в некоторые приказы </w:t>
            </w:r>
            <w:proofErr w:type="spellStart"/>
            <w:r w:rsidRPr="00004F57">
              <w:rPr>
                <w:color w:val="auto"/>
                <w:lang w:val="ru-RU"/>
              </w:rPr>
              <w:t>Госземагентства</w:t>
            </w:r>
            <w:proofErr w:type="spellEnd"/>
            <w:r w:rsidRPr="00004F57">
              <w:rPr>
                <w:color w:val="auto"/>
                <w:lang w:val="ru-RU"/>
              </w:rPr>
              <w:t xml:space="preserve"> Украины" было остановлено действие:</w:t>
            </w:r>
          </w:p>
          <w:p w:rsidR="00004F57" w:rsidRPr="00004F57" w:rsidRDefault="00004F57" w:rsidP="00004F57">
            <w:pPr>
              <w:pStyle w:val="BodyText"/>
              <w:jc w:val="both"/>
              <w:rPr>
                <w:color w:val="auto"/>
                <w:lang w:val="ru-RU"/>
              </w:rPr>
            </w:pPr>
            <w:r w:rsidRPr="00004F57">
              <w:rPr>
                <w:color w:val="auto"/>
                <w:lang w:val="ru-RU"/>
              </w:rPr>
              <w:t xml:space="preserve">1. Методических рекомендаций относительно реализации главным управлением </w:t>
            </w:r>
            <w:proofErr w:type="spellStart"/>
            <w:r w:rsidRPr="00004F57">
              <w:rPr>
                <w:color w:val="auto"/>
                <w:lang w:val="ru-RU"/>
              </w:rPr>
              <w:t>Госземагентства</w:t>
            </w:r>
            <w:proofErr w:type="spellEnd"/>
            <w:r w:rsidRPr="00004F57">
              <w:rPr>
                <w:color w:val="auto"/>
                <w:lang w:val="ru-RU"/>
              </w:rPr>
              <w:t xml:space="preserve"> в областях, городах Киеве и Севастополе полномочий по передаче земельных участков сельскохозяйственного назначения государственной собственности в собственность или пользование (на бесконкурентных принципах) для всех нужд; и </w:t>
            </w:r>
          </w:p>
          <w:p w:rsidR="00004F57" w:rsidRPr="00004F57" w:rsidRDefault="00004F57" w:rsidP="00004F57">
            <w:pPr>
              <w:pStyle w:val="BodyText"/>
              <w:jc w:val="both"/>
              <w:rPr>
                <w:color w:val="auto"/>
                <w:lang w:val="ru-RU"/>
              </w:rPr>
            </w:pPr>
            <w:r w:rsidRPr="00004F57">
              <w:rPr>
                <w:color w:val="auto"/>
                <w:lang w:val="ru-RU"/>
              </w:rPr>
              <w:t xml:space="preserve">2. Методических рекомендаций относительно порядка реализации главным управлением </w:t>
            </w:r>
            <w:proofErr w:type="spellStart"/>
            <w:r w:rsidRPr="00004F57">
              <w:rPr>
                <w:color w:val="auto"/>
                <w:lang w:val="ru-RU"/>
              </w:rPr>
              <w:t>Госземагентства</w:t>
            </w:r>
            <w:proofErr w:type="spellEnd"/>
            <w:r w:rsidRPr="00004F57">
              <w:rPr>
                <w:color w:val="auto"/>
                <w:lang w:val="ru-RU"/>
              </w:rPr>
              <w:t xml:space="preserve"> в областях, городах Киеве и Севастополе полномочий по возобновлению </w:t>
            </w:r>
            <w:proofErr w:type="gramStart"/>
            <w:r w:rsidRPr="00004F57">
              <w:rPr>
                <w:color w:val="auto"/>
                <w:lang w:val="ru-RU"/>
              </w:rPr>
              <w:t>договоров аренды земельных участков сельскохозяйственного назначения государственной собственности</w:t>
            </w:r>
            <w:proofErr w:type="gramEnd"/>
            <w:r w:rsidRPr="00004F57">
              <w:rPr>
                <w:color w:val="auto"/>
                <w:lang w:val="ru-RU"/>
              </w:rPr>
              <w:t xml:space="preserve"> и/или внесение изменений в них в новой редакции.</w:t>
            </w:r>
          </w:p>
          <w:p w:rsidR="00004F57" w:rsidRPr="00004F57" w:rsidRDefault="00004F57" w:rsidP="00B977F5">
            <w:pPr>
              <w:pStyle w:val="Heading1"/>
              <w:spacing w:before="0" w:after="0"/>
              <w:jc w:val="both"/>
              <w:outlineLvl w:val="0"/>
              <w:rPr>
                <w:color w:val="auto"/>
                <w:lang w:val="ru-RU"/>
              </w:rPr>
            </w:pPr>
            <w:r w:rsidRPr="00004F57">
              <w:rPr>
                <w:color w:val="auto"/>
                <w:lang w:val="ru-RU"/>
              </w:rPr>
              <w:t>ДЕРЕГУЛЯЦИЯ</w:t>
            </w:r>
          </w:p>
          <w:p w:rsidR="00004F57" w:rsidRPr="00B977F5" w:rsidRDefault="00004F57" w:rsidP="00B977F5">
            <w:pPr>
              <w:pStyle w:val="BodyText"/>
              <w:spacing w:after="0"/>
              <w:jc w:val="both"/>
              <w:rPr>
                <w:color w:val="auto"/>
                <w:lang w:val="ru-RU"/>
              </w:rPr>
            </w:pPr>
            <w:r w:rsidRPr="00004F57">
              <w:rPr>
                <w:color w:val="auto"/>
                <w:lang w:val="ru-RU"/>
              </w:rPr>
              <w:t>Верховной Радой Украины принят Закон Украины «О внесении изменений в некоторые законодательные акты Украины относительно сокращения количества документов разрешительного характера» от 09.04.2014 № 1193-VII, который вступил в силу 26.04.2014 года, которым отменено немало документов разрешительного характера. Список документов и детальный анализ указанного закона будет предоставлен в нашем отдельном информационном сообщении.</w:t>
            </w:r>
          </w:p>
        </w:tc>
      </w:tr>
    </w:tbl>
    <w:p w:rsidR="00BA4276" w:rsidRPr="00004F57" w:rsidRDefault="00BA4276" w:rsidP="00004F57">
      <w:pPr>
        <w:jc w:val="both"/>
        <w:rPr>
          <w:lang w:val="ru-RU"/>
        </w:rPr>
      </w:pPr>
    </w:p>
    <w:sectPr w:rsidR="00BA4276" w:rsidRPr="00004F57">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4CA1"/>
    <w:multiLevelType w:val="hybridMultilevel"/>
    <w:tmpl w:val="220CAFE0"/>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nsid w:val="0B9A406F"/>
    <w:multiLevelType w:val="hybridMultilevel"/>
    <w:tmpl w:val="0A8AAEF0"/>
    <w:lvl w:ilvl="0" w:tplc="CEB0CCCA">
      <w:start w:val="1"/>
      <w:numFmt w:val="decimal"/>
      <w:lvlText w:val="%1."/>
      <w:lvlJc w:val="left"/>
      <w:pPr>
        <w:ind w:left="1222" w:hanging="360"/>
      </w:pPr>
      <w:rPr>
        <w:rFonts w:asciiTheme="minorHAnsi" w:eastAsiaTheme="minorEastAsia" w:hAnsiTheme="minorHAnsi" w:cstheme="minorBidi"/>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nsid w:val="0C595379"/>
    <w:multiLevelType w:val="multilevel"/>
    <w:tmpl w:val="FEC678E8"/>
    <w:lvl w:ilvl="0">
      <w:start w:val="1"/>
      <w:numFmt w:val="lowerLetter"/>
      <w:lvlText w:val="%1)"/>
      <w:lvlJc w:val="left"/>
      <w:pPr>
        <w:ind w:left="360" w:hanging="360"/>
      </w:pPr>
      <w:rPr>
        <w:rFonts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1B9F51B4"/>
    <w:multiLevelType w:val="multilevel"/>
    <w:tmpl w:val="7B8E6952"/>
    <w:styleLink w:val="Bullets"/>
    <w:lvl w:ilvl="0">
      <w:start w:val="1"/>
      <w:numFmt w:val="bullet"/>
      <w:pStyle w:val="Bullet"/>
      <w:lvlText w:val=""/>
      <w:lvlJc w:val="left"/>
      <w:pPr>
        <w:ind w:left="360" w:hanging="360"/>
      </w:pPr>
      <w:rPr>
        <w:rFonts w:ascii="Symbol" w:hAnsi="Symbol" w:cs="Times New Roman"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nsid w:val="2D0B292E"/>
    <w:multiLevelType w:val="hybridMultilevel"/>
    <w:tmpl w:val="02E2F794"/>
    <w:lvl w:ilvl="0" w:tplc="8626F3C6">
      <w:start w:val="1"/>
      <w:numFmt w:val="decimal"/>
      <w:lvlText w:val="%1."/>
      <w:lvlJc w:val="left"/>
      <w:pPr>
        <w:ind w:left="720" w:hanging="360"/>
      </w:pPr>
      <w:rPr>
        <w:rFonts w:ascii="Arial" w:hAnsi="Arial" w:cs="Arial" w:hint="default"/>
        <w:color w:val="565A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04A1F"/>
    <w:multiLevelType w:val="hybridMultilevel"/>
    <w:tmpl w:val="877C2ED2"/>
    <w:lvl w:ilvl="0" w:tplc="04090019">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6">
    <w:nsid w:val="386C41EF"/>
    <w:multiLevelType w:val="multilevel"/>
    <w:tmpl w:val="77601BE8"/>
    <w:lvl w:ilvl="0">
      <w:start w:val="1"/>
      <w:numFmt w:val="lowerLetter"/>
      <w:lvlText w:val="%1."/>
      <w:lvlJc w:val="left"/>
      <w:pPr>
        <w:ind w:left="360" w:hanging="360"/>
      </w:pPr>
      <w:rPr>
        <w:rFonts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51C243FE"/>
    <w:multiLevelType w:val="hybridMultilevel"/>
    <w:tmpl w:val="454CD838"/>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nsid w:val="54580B09"/>
    <w:multiLevelType w:val="hybridMultilevel"/>
    <w:tmpl w:val="33CC6370"/>
    <w:lvl w:ilvl="0" w:tplc="2FF422D0">
      <w:start w:val="1"/>
      <w:numFmt w:val="low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A1570"/>
    <w:multiLevelType w:val="hybridMultilevel"/>
    <w:tmpl w:val="D492667E"/>
    <w:lvl w:ilvl="0" w:tplc="251E77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1AC588B"/>
    <w:multiLevelType w:val="multilevel"/>
    <w:tmpl w:val="38EAF1B8"/>
    <w:lvl w:ilvl="0">
      <w:start w:val="1"/>
      <w:numFmt w:val="decimal"/>
      <w:lvlText w:val="%1."/>
      <w:lvlJc w:val="left"/>
      <w:pPr>
        <w:ind w:left="360" w:hanging="360"/>
      </w:pPr>
      <w:rPr>
        <w:rFonts w:asciiTheme="minorHAnsi" w:eastAsiaTheme="minorEastAsia" w:hAnsiTheme="minorHAnsi" w:cstheme="minorBidi"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63F20916"/>
    <w:multiLevelType w:val="multilevel"/>
    <w:tmpl w:val="741A9660"/>
    <w:lvl w:ilvl="0">
      <w:start w:val="1"/>
      <w:numFmt w:val="lowerLetter"/>
      <w:lvlText w:val="%1."/>
      <w:lvlJc w:val="left"/>
      <w:pPr>
        <w:ind w:left="360" w:hanging="360"/>
      </w:pPr>
      <w:rPr>
        <w:rFonts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nsid w:val="69496F8E"/>
    <w:multiLevelType w:val="hybridMultilevel"/>
    <w:tmpl w:val="F82C58C0"/>
    <w:lvl w:ilvl="0" w:tplc="CEB0CCCA">
      <w:start w:val="1"/>
      <w:numFmt w:val="decimal"/>
      <w:lvlText w:val="%1."/>
      <w:lvlJc w:val="left"/>
      <w:pPr>
        <w:ind w:left="1222" w:hanging="360"/>
      </w:pPr>
      <w:rPr>
        <w:rFonts w:asciiTheme="minorHAnsi" w:eastAsiaTheme="minorEastAsia" w:hAnsiTheme="minorHAnsi" w:cstheme="minorBidi"/>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3">
    <w:nsid w:val="710A591E"/>
    <w:multiLevelType w:val="multilevel"/>
    <w:tmpl w:val="24D2E2BC"/>
    <w:lvl w:ilvl="0">
      <w:start w:val="1"/>
      <w:numFmt w:val="decimal"/>
      <w:lvlText w:val="%1."/>
      <w:lvlJc w:val="left"/>
      <w:pPr>
        <w:ind w:left="360" w:hanging="360"/>
      </w:pPr>
      <w:rPr>
        <w:rFonts w:eastAsia="Times New Roman" w:hint="default"/>
        <w:color w:val="000000" w:themeColor="text1"/>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78E245F8"/>
    <w:multiLevelType w:val="hybridMultilevel"/>
    <w:tmpl w:val="D0E20F94"/>
    <w:lvl w:ilvl="0" w:tplc="8626F3C6">
      <w:start w:val="1"/>
      <w:numFmt w:val="decimal"/>
      <w:lvlText w:val="%1."/>
      <w:lvlJc w:val="left"/>
      <w:pPr>
        <w:ind w:left="502" w:hanging="360"/>
      </w:pPr>
      <w:rPr>
        <w:rFonts w:ascii="Arial" w:hAnsi="Arial" w:cs="Arial" w:hint="default"/>
        <w:color w:val="565A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275780"/>
    <w:multiLevelType w:val="multilevel"/>
    <w:tmpl w:val="31DC126E"/>
    <w:lvl w:ilvl="0">
      <w:start w:val="1"/>
      <w:numFmt w:val="decimal"/>
      <w:lvlText w:val="%1."/>
      <w:lvlJc w:val="left"/>
      <w:pPr>
        <w:ind w:left="360" w:hanging="360"/>
      </w:pPr>
      <w:rPr>
        <w:rFonts w:asciiTheme="minorHAnsi" w:eastAsiaTheme="minorEastAsia" w:hAnsiTheme="minorHAnsi" w:cstheme="minorBidi"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nsid w:val="7C564226"/>
    <w:multiLevelType w:val="hybridMultilevel"/>
    <w:tmpl w:val="C9881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A63C2D"/>
    <w:multiLevelType w:val="multilevel"/>
    <w:tmpl w:val="AA786AC6"/>
    <w:lvl w:ilvl="0">
      <w:start w:val="1"/>
      <w:numFmt w:val="lowerLetter"/>
      <w:lvlText w:val="%1."/>
      <w:lvlJc w:val="left"/>
      <w:pPr>
        <w:ind w:left="360" w:hanging="360"/>
      </w:pPr>
      <w:rPr>
        <w:rFonts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3"/>
  </w:num>
  <w:num w:numId="2">
    <w:abstractNumId w:val="16"/>
  </w:num>
  <w:num w:numId="3">
    <w:abstractNumId w:val="14"/>
  </w:num>
  <w:num w:numId="4">
    <w:abstractNumId w:val="1"/>
  </w:num>
  <w:num w:numId="5">
    <w:abstractNumId w:val="5"/>
  </w:num>
  <w:num w:numId="6">
    <w:abstractNumId w:val="7"/>
  </w:num>
  <w:num w:numId="7">
    <w:abstractNumId w:val="4"/>
  </w:num>
  <w:num w:numId="8">
    <w:abstractNumId w:val="0"/>
  </w:num>
  <w:num w:numId="9">
    <w:abstractNumId w:val="9"/>
  </w:num>
  <w:num w:numId="10">
    <w:abstractNumId w:val="15"/>
  </w:num>
  <w:num w:numId="11">
    <w:abstractNumId w:val="2"/>
  </w:num>
  <w:num w:numId="12">
    <w:abstractNumId w:val="6"/>
  </w:num>
  <w:num w:numId="13">
    <w:abstractNumId w:val="17"/>
  </w:num>
  <w:num w:numId="14">
    <w:abstractNumId w:val="11"/>
  </w:num>
  <w:num w:numId="15">
    <w:abstractNumId w:val="3"/>
  </w:num>
  <w:num w:numId="16">
    <w:abstractNumId w:val="3"/>
  </w:num>
  <w:num w:numId="17">
    <w:abstractNumId w:val="3"/>
  </w:num>
  <w:num w:numId="18">
    <w:abstractNumId w:val="3"/>
  </w:num>
  <w:num w:numId="19">
    <w:abstractNumId w:val="12"/>
  </w:num>
  <w:num w:numId="20">
    <w:abstractNumId w:val="8"/>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57"/>
    <w:rsid w:val="00004F57"/>
    <w:rsid w:val="00006E91"/>
    <w:rsid w:val="00042BF1"/>
    <w:rsid w:val="00094B18"/>
    <w:rsid w:val="00137AF9"/>
    <w:rsid w:val="0016738E"/>
    <w:rsid w:val="001A0F36"/>
    <w:rsid w:val="001C07C6"/>
    <w:rsid w:val="001D15E2"/>
    <w:rsid w:val="001D5BE5"/>
    <w:rsid w:val="001F66D0"/>
    <w:rsid w:val="00200F31"/>
    <w:rsid w:val="002065DD"/>
    <w:rsid w:val="002424A0"/>
    <w:rsid w:val="00243327"/>
    <w:rsid w:val="00334753"/>
    <w:rsid w:val="00384679"/>
    <w:rsid w:val="00445C2F"/>
    <w:rsid w:val="004C1B62"/>
    <w:rsid w:val="005150A1"/>
    <w:rsid w:val="00590EB6"/>
    <w:rsid w:val="005A1C76"/>
    <w:rsid w:val="005E48EE"/>
    <w:rsid w:val="00606627"/>
    <w:rsid w:val="00622E1A"/>
    <w:rsid w:val="006D1568"/>
    <w:rsid w:val="00733CDA"/>
    <w:rsid w:val="00775C08"/>
    <w:rsid w:val="00796E71"/>
    <w:rsid w:val="007B7442"/>
    <w:rsid w:val="007B74FB"/>
    <w:rsid w:val="007F3376"/>
    <w:rsid w:val="00815357"/>
    <w:rsid w:val="00830C55"/>
    <w:rsid w:val="008F3538"/>
    <w:rsid w:val="009814A0"/>
    <w:rsid w:val="009825BF"/>
    <w:rsid w:val="009F7A6A"/>
    <w:rsid w:val="00A65332"/>
    <w:rsid w:val="00AA605D"/>
    <w:rsid w:val="00AA60CA"/>
    <w:rsid w:val="00AE0B28"/>
    <w:rsid w:val="00AF149F"/>
    <w:rsid w:val="00B60AE2"/>
    <w:rsid w:val="00B977F5"/>
    <w:rsid w:val="00BA4276"/>
    <w:rsid w:val="00BF1C47"/>
    <w:rsid w:val="00BF5AFD"/>
    <w:rsid w:val="00C41124"/>
    <w:rsid w:val="00C63898"/>
    <w:rsid w:val="00C84C4B"/>
    <w:rsid w:val="00C9246F"/>
    <w:rsid w:val="00CA4E00"/>
    <w:rsid w:val="00D73C8B"/>
    <w:rsid w:val="00D7776F"/>
    <w:rsid w:val="00DB3910"/>
    <w:rsid w:val="00DB5AA7"/>
    <w:rsid w:val="00DD66F0"/>
    <w:rsid w:val="00DE51FC"/>
    <w:rsid w:val="00ED4E72"/>
    <w:rsid w:val="00EF3136"/>
    <w:rsid w:val="00F26239"/>
    <w:rsid w:val="00FA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57"/>
    <w:pPr>
      <w:spacing w:after="0"/>
    </w:pPr>
    <w:rPr>
      <w:rFonts w:eastAsiaTheme="minorEastAsia"/>
      <w:sz w:val="20"/>
      <w:szCs w:val="20"/>
      <w:lang w:val="en-GB" w:eastAsia="ko-KR"/>
    </w:rPr>
  </w:style>
  <w:style w:type="paragraph" w:styleId="Heading1">
    <w:name w:val="heading 1"/>
    <w:basedOn w:val="Normal"/>
    <w:next w:val="BodyText"/>
    <w:link w:val="Heading1Char"/>
    <w:qFormat/>
    <w:rsid w:val="00004F57"/>
    <w:pPr>
      <w:keepNext/>
      <w:spacing w:before="240" w:after="240"/>
      <w:outlineLvl w:val="0"/>
    </w:pPr>
    <w:rPr>
      <w:rFonts w:cs="Arial"/>
      <w:bCs/>
      <w:color w:val="EEECE1" w:themeColor="background2"/>
      <w:kern w:val="32"/>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ner">
    <w:name w:val="Banner"/>
    <w:basedOn w:val="Normal"/>
    <w:next w:val="Normal"/>
    <w:rsid w:val="00004F57"/>
    <w:rPr>
      <w:rFonts w:eastAsia="Times New Roman"/>
      <w:color w:val="FFFFFF"/>
      <w:sz w:val="60"/>
    </w:rPr>
  </w:style>
  <w:style w:type="character" w:customStyle="1" w:styleId="Heading1Char">
    <w:name w:val="Heading 1 Char"/>
    <w:basedOn w:val="DefaultParagraphFont"/>
    <w:link w:val="Heading1"/>
    <w:rsid w:val="00004F57"/>
    <w:rPr>
      <w:rFonts w:eastAsiaTheme="minorEastAsia" w:cs="Arial"/>
      <w:bCs/>
      <w:color w:val="EEECE1" w:themeColor="background2"/>
      <w:kern w:val="32"/>
      <w:sz w:val="32"/>
      <w:szCs w:val="48"/>
      <w:lang w:val="en-GB" w:eastAsia="ko-KR"/>
    </w:rPr>
  </w:style>
  <w:style w:type="paragraph" w:styleId="BodyText">
    <w:name w:val="Body Text"/>
    <w:basedOn w:val="Normal"/>
    <w:link w:val="BodyTextChar"/>
    <w:rsid w:val="00004F57"/>
    <w:pPr>
      <w:spacing w:after="240"/>
    </w:pPr>
    <w:rPr>
      <w:color w:val="1F497D" w:themeColor="text2"/>
    </w:rPr>
  </w:style>
  <w:style w:type="character" w:customStyle="1" w:styleId="BodyTextChar">
    <w:name w:val="Body Text Char"/>
    <w:basedOn w:val="DefaultParagraphFont"/>
    <w:link w:val="BodyText"/>
    <w:rsid w:val="00004F57"/>
    <w:rPr>
      <w:rFonts w:eastAsiaTheme="minorEastAsia"/>
      <w:color w:val="1F497D" w:themeColor="text2"/>
      <w:sz w:val="20"/>
      <w:szCs w:val="20"/>
      <w:lang w:val="en-GB" w:eastAsia="ko-KR"/>
    </w:rPr>
  </w:style>
  <w:style w:type="paragraph" w:customStyle="1" w:styleId="Bullet">
    <w:name w:val="Bullet"/>
    <w:basedOn w:val="BodyText"/>
    <w:qFormat/>
    <w:rsid w:val="00004F57"/>
    <w:pPr>
      <w:numPr>
        <w:numId w:val="1"/>
      </w:numPr>
      <w:spacing w:after="160"/>
    </w:pPr>
  </w:style>
  <w:style w:type="numbering" w:customStyle="1" w:styleId="Bullets">
    <w:name w:val="Bullets"/>
    <w:uiPriority w:val="99"/>
    <w:rsid w:val="00004F57"/>
    <w:pPr>
      <w:numPr>
        <w:numId w:val="1"/>
      </w:numPr>
    </w:pPr>
  </w:style>
  <w:style w:type="character" w:styleId="Strong">
    <w:name w:val="Strong"/>
    <w:basedOn w:val="DefaultParagraphFont"/>
    <w:uiPriority w:val="22"/>
    <w:qFormat/>
    <w:rsid w:val="00004F57"/>
    <w:rPr>
      <w:b/>
      <w:bCs/>
    </w:rPr>
  </w:style>
  <w:style w:type="paragraph" w:styleId="NormalWeb">
    <w:name w:val="Normal (Web)"/>
    <w:basedOn w:val="Normal"/>
    <w:uiPriority w:val="99"/>
    <w:unhideWhenUsed/>
    <w:rsid w:val="00004F57"/>
    <w:pPr>
      <w:spacing w:before="100" w:beforeAutospacing="1" w:after="100" w:afterAutospacing="1" w:line="240" w:lineRule="auto"/>
    </w:pPr>
    <w:rPr>
      <w:rFonts w:ascii="Times New Roman" w:eastAsia="Batang" w:hAnsi="Times New Roman" w:cs="Times New Roman"/>
      <w:sz w:val="24"/>
      <w:szCs w:val="24"/>
      <w:lang w:val="en-US" w:eastAsia="en-US"/>
    </w:rPr>
  </w:style>
  <w:style w:type="paragraph" w:customStyle="1" w:styleId="story">
    <w:name w:val="story"/>
    <w:basedOn w:val="Normal"/>
    <w:rsid w:val="00004F57"/>
    <w:pPr>
      <w:spacing w:after="100" w:afterAutospacing="1" w:line="285" w:lineRule="atLeast"/>
    </w:pPr>
    <w:rPr>
      <w:rFonts w:ascii="Arial" w:eastAsia="Times New Roman" w:hAnsi="Arial" w:cs="Arial"/>
      <w:color w:val="565A5C"/>
      <w:sz w:val="18"/>
      <w:szCs w:val="18"/>
      <w:lang w:val="en-US" w:eastAsia="en-US"/>
    </w:rPr>
  </w:style>
  <w:style w:type="paragraph" w:styleId="ListParagraph">
    <w:name w:val="List Paragraph"/>
    <w:basedOn w:val="Normal"/>
    <w:uiPriority w:val="34"/>
    <w:qFormat/>
    <w:rsid w:val="00B977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57"/>
    <w:pPr>
      <w:spacing w:after="0"/>
    </w:pPr>
    <w:rPr>
      <w:rFonts w:eastAsiaTheme="minorEastAsia"/>
      <w:sz w:val="20"/>
      <w:szCs w:val="20"/>
      <w:lang w:val="en-GB" w:eastAsia="ko-KR"/>
    </w:rPr>
  </w:style>
  <w:style w:type="paragraph" w:styleId="Heading1">
    <w:name w:val="heading 1"/>
    <w:basedOn w:val="Normal"/>
    <w:next w:val="BodyText"/>
    <w:link w:val="Heading1Char"/>
    <w:qFormat/>
    <w:rsid w:val="00004F57"/>
    <w:pPr>
      <w:keepNext/>
      <w:spacing w:before="240" w:after="240"/>
      <w:outlineLvl w:val="0"/>
    </w:pPr>
    <w:rPr>
      <w:rFonts w:cs="Arial"/>
      <w:bCs/>
      <w:color w:val="EEECE1" w:themeColor="background2"/>
      <w:kern w:val="32"/>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ner">
    <w:name w:val="Banner"/>
    <w:basedOn w:val="Normal"/>
    <w:next w:val="Normal"/>
    <w:rsid w:val="00004F57"/>
    <w:rPr>
      <w:rFonts w:eastAsia="Times New Roman"/>
      <w:color w:val="FFFFFF"/>
      <w:sz w:val="60"/>
    </w:rPr>
  </w:style>
  <w:style w:type="character" w:customStyle="1" w:styleId="Heading1Char">
    <w:name w:val="Heading 1 Char"/>
    <w:basedOn w:val="DefaultParagraphFont"/>
    <w:link w:val="Heading1"/>
    <w:rsid w:val="00004F57"/>
    <w:rPr>
      <w:rFonts w:eastAsiaTheme="minorEastAsia" w:cs="Arial"/>
      <w:bCs/>
      <w:color w:val="EEECE1" w:themeColor="background2"/>
      <w:kern w:val="32"/>
      <w:sz w:val="32"/>
      <w:szCs w:val="48"/>
      <w:lang w:val="en-GB" w:eastAsia="ko-KR"/>
    </w:rPr>
  </w:style>
  <w:style w:type="paragraph" w:styleId="BodyText">
    <w:name w:val="Body Text"/>
    <w:basedOn w:val="Normal"/>
    <w:link w:val="BodyTextChar"/>
    <w:rsid w:val="00004F57"/>
    <w:pPr>
      <w:spacing w:after="240"/>
    </w:pPr>
    <w:rPr>
      <w:color w:val="1F497D" w:themeColor="text2"/>
    </w:rPr>
  </w:style>
  <w:style w:type="character" w:customStyle="1" w:styleId="BodyTextChar">
    <w:name w:val="Body Text Char"/>
    <w:basedOn w:val="DefaultParagraphFont"/>
    <w:link w:val="BodyText"/>
    <w:rsid w:val="00004F57"/>
    <w:rPr>
      <w:rFonts w:eastAsiaTheme="minorEastAsia"/>
      <w:color w:val="1F497D" w:themeColor="text2"/>
      <w:sz w:val="20"/>
      <w:szCs w:val="20"/>
      <w:lang w:val="en-GB" w:eastAsia="ko-KR"/>
    </w:rPr>
  </w:style>
  <w:style w:type="paragraph" w:customStyle="1" w:styleId="Bullet">
    <w:name w:val="Bullet"/>
    <w:basedOn w:val="BodyText"/>
    <w:qFormat/>
    <w:rsid w:val="00004F57"/>
    <w:pPr>
      <w:numPr>
        <w:numId w:val="1"/>
      </w:numPr>
      <w:spacing w:after="160"/>
    </w:pPr>
  </w:style>
  <w:style w:type="numbering" w:customStyle="1" w:styleId="Bullets">
    <w:name w:val="Bullets"/>
    <w:uiPriority w:val="99"/>
    <w:rsid w:val="00004F57"/>
    <w:pPr>
      <w:numPr>
        <w:numId w:val="1"/>
      </w:numPr>
    </w:pPr>
  </w:style>
  <w:style w:type="character" w:styleId="Strong">
    <w:name w:val="Strong"/>
    <w:basedOn w:val="DefaultParagraphFont"/>
    <w:uiPriority w:val="22"/>
    <w:qFormat/>
    <w:rsid w:val="00004F57"/>
    <w:rPr>
      <w:b/>
      <w:bCs/>
    </w:rPr>
  </w:style>
  <w:style w:type="paragraph" w:styleId="NormalWeb">
    <w:name w:val="Normal (Web)"/>
    <w:basedOn w:val="Normal"/>
    <w:uiPriority w:val="99"/>
    <w:unhideWhenUsed/>
    <w:rsid w:val="00004F57"/>
    <w:pPr>
      <w:spacing w:before="100" w:beforeAutospacing="1" w:after="100" w:afterAutospacing="1" w:line="240" w:lineRule="auto"/>
    </w:pPr>
    <w:rPr>
      <w:rFonts w:ascii="Times New Roman" w:eastAsia="Batang" w:hAnsi="Times New Roman" w:cs="Times New Roman"/>
      <w:sz w:val="24"/>
      <w:szCs w:val="24"/>
      <w:lang w:val="en-US" w:eastAsia="en-US"/>
    </w:rPr>
  </w:style>
  <w:style w:type="paragraph" w:customStyle="1" w:styleId="story">
    <w:name w:val="story"/>
    <w:basedOn w:val="Normal"/>
    <w:rsid w:val="00004F57"/>
    <w:pPr>
      <w:spacing w:after="100" w:afterAutospacing="1" w:line="285" w:lineRule="atLeast"/>
    </w:pPr>
    <w:rPr>
      <w:rFonts w:ascii="Arial" w:eastAsia="Times New Roman" w:hAnsi="Arial" w:cs="Arial"/>
      <w:color w:val="565A5C"/>
      <w:sz w:val="18"/>
      <w:szCs w:val="18"/>
      <w:lang w:val="en-US" w:eastAsia="en-US"/>
    </w:rPr>
  </w:style>
  <w:style w:type="paragraph" w:styleId="ListParagraph">
    <w:name w:val="List Paragraph"/>
    <w:basedOn w:val="Normal"/>
    <w:uiPriority w:val="34"/>
    <w:qFormat/>
    <w:rsid w:val="00B97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d.gov.ua/" TargetMode="External"/><Relationship Id="rId3" Type="http://schemas.microsoft.com/office/2007/relationships/stylesWithEffects" Target="stylesWithEffects.xml"/><Relationship Id="rId7" Type="http://schemas.openxmlformats.org/officeDocument/2006/relationships/hyperlink" Target="http://land.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d.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Dentons</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 Parfeniuk</dc:creator>
  <cp:lastModifiedBy>Liudmila Parfeniuk</cp:lastModifiedBy>
  <cp:revision>2</cp:revision>
  <dcterms:created xsi:type="dcterms:W3CDTF">2014-05-28T09:14:00Z</dcterms:created>
  <dcterms:modified xsi:type="dcterms:W3CDTF">2014-05-28T11:34:00Z</dcterms:modified>
</cp:coreProperties>
</file>